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72" w:rsidRPr="00EE2FE4" w:rsidRDefault="00B30272" w:rsidP="006B724A">
      <w:pPr>
        <w:jc w:val="center"/>
        <w:rPr>
          <w:rFonts w:ascii="Times New Roman" w:hAnsi="Times New Roman"/>
          <w:b/>
          <w:sz w:val="24"/>
          <w:szCs w:val="24"/>
        </w:rPr>
      </w:pPr>
      <w:r w:rsidRPr="00EE2FE4">
        <w:rPr>
          <w:rFonts w:ascii="Times New Roman" w:hAnsi="Times New Roman"/>
          <w:b/>
          <w:sz w:val="24"/>
          <w:szCs w:val="24"/>
        </w:rPr>
        <w:t>INTERNATIONAL HANDBOOK ON IN-SERVICE TEACHER TRAINING AND RE-TRAINING</w:t>
      </w:r>
      <w:r w:rsidR="00A725F3">
        <w:rPr>
          <w:rFonts w:ascii="Times New Roman" w:hAnsi="Times New Roman"/>
          <w:b/>
          <w:sz w:val="24"/>
          <w:szCs w:val="24"/>
        </w:rPr>
        <w:t xml:space="preserve"> (P. Calloginiakis, K. Carras &amp; C, Wolhuter (Eds.) Crete: University of Crete Press)</w:t>
      </w:r>
    </w:p>
    <w:p w:rsidR="00B30272" w:rsidRDefault="00B30272" w:rsidP="006B724A">
      <w:pPr>
        <w:jc w:val="center"/>
        <w:rPr>
          <w:rFonts w:ascii="Times New Roman" w:hAnsi="Times New Roman"/>
          <w:b/>
          <w:sz w:val="24"/>
          <w:szCs w:val="24"/>
        </w:rPr>
      </w:pPr>
    </w:p>
    <w:p w:rsidR="00B30272" w:rsidRPr="00EE2FE4" w:rsidRDefault="00B30272" w:rsidP="006B724A">
      <w:pPr>
        <w:jc w:val="center"/>
        <w:rPr>
          <w:rFonts w:ascii="Times New Roman" w:hAnsi="Times New Roman"/>
          <w:b/>
          <w:sz w:val="24"/>
          <w:szCs w:val="24"/>
        </w:rPr>
      </w:pPr>
      <w:r w:rsidRPr="00EE2FE4">
        <w:rPr>
          <w:rFonts w:ascii="Times New Roman" w:hAnsi="Times New Roman"/>
          <w:b/>
          <w:sz w:val="24"/>
          <w:szCs w:val="24"/>
        </w:rPr>
        <w:t>IN-SERVICE TEACHER TRAINING IN PALESTINE</w:t>
      </w:r>
    </w:p>
    <w:p w:rsidR="00B30272" w:rsidRDefault="00B30272" w:rsidP="006B724A">
      <w:pPr>
        <w:jc w:val="center"/>
        <w:rPr>
          <w:rFonts w:ascii="Times New Roman" w:hAnsi="Times New Roman"/>
          <w:sz w:val="24"/>
          <w:szCs w:val="24"/>
        </w:rPr>
      </w:pPr>
      <w:r>
        <w:rPr>
          <w:rFonts w:ascii="Times New Roman" w:hAnsi="Times New Roman"/>
          <w:sz w:val="24"/>
          <w:szCs w:val="24"/>
        </w:rPr>
        <w:t>Petra Engelbrecht</w:t>
      </w:r>
      <w:r w:rsidR="00EE2FE4">
        <w:rPr>
          <w:rFonts w:ascii="Times New Roman" w:hAnsi="Times New Roman"/>
          <w:sz w:val="24"/>
          <w:szCs w:val="24"/>
        </w:rPr>
        <w:t>*</w:t>
      </w:r>
      <w:r>
        <w:rPr>
          <w:rFonts w:ascii="Times New Roman" w:hAnsi="Times New Roman"/>
          <w:sz w:val="24"/>
          <w:szCs w:val="24"/>
        </w:rPr>
        <w:t xml:space="preserve">, Viv Wilson, </w:t>
      </w:r>
      <w:r w:rsidRPr="006B724A">
        <w:rPr>
          <w:rFonts w:ascii="Times New Roman" w:hAnsi="Times New Roman"/>
          <w:sz w:val="24"/>
          <w:szCs w:val="24"/>
        </w:rPr>
        <w:t>Canterbury Christ Church University</w:t>
      </w:r>
      <w:r>
        <w:rPr>
          <w:rFonts w:ascii="Times New Roman" w:hAnsi="Times New Roman"/>
          <w:sz w:val="24"/>
          <w:szCs w:val="24"/>
        </w:rPr>
        <w:t>, England, Abdallah Bsharat, Birzeit University, Palestine</w:t>
      </w:r>
      <w:r w:rsidR="00A03D0C">
        <w:rPr>
          <w:rFonts w:ascii="Times New Roman" w:hAnsi="Times New Roman"/>
          <w:sz w:val="24"/>
          <w:szCs w:val="24"/>
        </w:rPr>
        <w:t xml:space="preserve"> and</w:t>
      </w:r>
      <w:r>
        <w:rPr>
          <w:rFonts w:ascii="Times New Roman" w:hAnsi="Times New Roman"/>
          <w:sz w:val="24"/>
          <w:szCs w:val="24"/>
        </w:rPr>
        <w:t xml:space="preserve"> Tony Mahon</w:t>
      </w:r>
      <w:r w:rsidR="00A03D0C">
        <w:rPr>
          <w:rFonts w:ascii="Times New Roman" w:hAnsi="Times New Roman"/>
          <w:sz w:val="24"/>
          <w:szCs w:val="24"/>
        </w:rPr>
        <w:t>,</w:t>
      </w:r>
      <w:r>
        <w:rPr>
          <w:rFonts w:ascii="Times New Roman" w:hAnsi="Times New Roman"/>
          <w:sz w:val="24"/>
          <w:szCs w:val="24"/>
        </w:rPr>
        <w:t xml:space="preserve"> Canterbury Christ Church University, England</w:t>
      </w:r>
    </w:p>
    <w:p w:rsidR="00EE2FE4" w:rsidRDefault="00EE2FE4" w:rsidP="006B724A">
      <w:pPr>
        <w:jc w:val="center"/>
        <w:rPr>
          <w:rFonts w:ascii="Times New Roman" w:hAnsi="Times New Roman"/>
          <w:sz w:val="24"/>
          <w:szCs w:val="24"/>
        </w:rPr>
      </w:pPr>
      <w:r>
        <w:rPr>
          <w:rFonts w:ascii="Times New Roman" w:hAnsi="Times New Roman"/>
          <w:sz w:val="24"/>
          <w:szCs w:val="24"/>
        </w:rPr>
        <w:t xml:space="preserve">*e-mail address: </w:t>
      </w:r>
      <w:hyperlink r:id="rId8" w:history="1">
        <w:r w:rsidR="00032559" w:rsidRPr="00657362">
          <w:rPr>
            <w:rStyle w:val="Hyperlink"/>
            <w:rFonts w:ascii="Times New Roman" w:hAnsi="Times New Roman"/>
            <w:sz w:val="24"/>
            <w:szCs w:val="24"/>
          </w:rPr>
          <w:t>petra.engelbrecht@canterbury.ac.uk</w:t>
        </w:r>
      </w:hyperlink>
    </w:p>
    <w:p w:rsidR="00032559" w:rsidRDefault="00032559" w:rsidP="006B724A">
      <w:pPr>
        <w:jc w:val="center"/>
        <w:rPr>
          <w:rFonts w:ascii="Times New Roman" w:hAnsi="Times New Roman"/>
          <w:sz w:val="24"/>
          <w:szCs w:val="24"/>
        </w:rPr>
      </w:pPr>
    </w:p>
    <w:p w:rsidR="00032559" w:rsidRDefault="00032559" w:rsidP="00032559">
      <w:pPr>
        <w:jc w:val="both"/>
        <w:rPr>
          <w:rFonts w:ascii="Times New Roman" w:hAnsi="Times New Roman"/>
          <w:b/>
          <w:sz w:val="24"/>
          <w:szCs w:val="24"/>
        </w:rPr>
      </w:pPr>
      <w:r>
        <w:rPr>
          <w:rFonts w:ascii="Times New Roman" w:hAnsi="Times New Roman"/>
          <w:b/>
          <w:sz w:val="24"/>
          <w:szCs w:val="24"/>
        </w:rPr>
        <w:t>Abstract</w:t>
      </w:r>
    </w:p>
    <w:p w:rsidR="00032559" w:rsidRPr="00916583" w:rsidRDefault="00916583" w:rsidP="00032559">
      <w:pPr>
        <w:jc w:val="both"/>
        <w:rPr>
          <w:rFonts w:ascii="Times New Roman" w:hAnsi="Times New Roman"/>
          <w:sz w:val="24"/>
          <w:szCs w:val="24"/>
        </w:rPr>
      </w:pPr>
      <w:r>
        <w:rPr>
          <w:rFonts w:ascii="Times New Roman" w:hAnsi="Times New Roman"/>
          <w:sz w:val="24"/>
          <w:szCs w:val="24"/>
        </w:rPr>
        <w:t xml:space="preserve">Following the Oslo Accords in 1994, the Palestinian National Authority was established to take over the administration and control of most areas of Palestinian life including education. The newly established Ministry of Education and Higher Education (MOEHE) faced the challenge of harmonizing and developing an equitable education system in two geographically separate regions - the West Bank and Gaza that were previously administered by Egypt and Jordan with separate education systems.  </w:t>
      </w:r>
      <w:r w:rsidR="00750DCA">
        <w:rPr>
          <w:rFonts w:ascii="Times New Roman" w:hAnsi="Times New Roman"/>
          <w:sz w:val="24"/>
          <w:szCs w:val="24"/>
        </w:rPr>
        <w:t xml:space="preserve">Teachers were recruited in large numbers, many of whom lacked the necessary qualifications to teach their subject areas </w:t>
      </w:r>
      <w:bookmarkStart w:id="0" w:name="_GoBack"/>
      <w:bookmarkEnd w:id="0"/>
      <w:r w:rsidR="00750DCA">
        <w:rPr>
          <w:rFonts w:ascii="Times New Roman" w:hAnsi="Times New Roman"/>
          <w:sz w:val="24"/>
          <w:szCs w:val="24"/>
        </w:rPr>
        <w:t xml:space="preserve">competently.  As a result teacher induction training courses were introduced in order to familiarise teachers with the new Palestinian curriculum as well as student assessment and classroom instruction.  These efforts can hardly be considered as systematic in-service training and the development of the first two Education Development Plans and the Teacher Education Strategy in Palestine (TESP) in 2008 paid particular attention to the further development of both pre- and in-service teacher training.  This chapter focuses specifically on the description and analysis of </w:t>
      </w:r>
      <w:r w:rsidR="00B463DA">
        <w:rPr>
          <w:rFonts w:ascii="Times New Roman" w:hAnsi="Times New Roman"/>
          <w:sz w:val="24"/>
          <w:szCs w:val="24"/>
        </w:rPr>
        <w:t>in-serv</w:t>
      </w:r>
      <w:r w:rsidR="00190ED8">
        <w:rPr>
          <w:rFonts w:ascii="Times New Roman" w:hAnsi="Times New Roman"/>
          <w:sz w:val="24"/>
          <w:szCs w:val="24"/>
        </w:rPr>
        <w:t>ic</w:t>
      </w:r>
      <w:r w:rsidR="00B463DA">
        <w:rPr>
          <w:rFonts w:ascii="Times New Roman" w:hAnsi="Times New Roman"/>
          <w:sz w:val="24"/>
          <w:szCs w:val="24"/>
        </w:rPr>
        <w:t>e teacher training programmes in Palestine in the period 2005 to 2013.</w:t>
      </w:r>
      <w:r w:rsidR="00C31E91">
        <w:rPr>
          <w:rFonts w:ascii="Times New Roman" w:hAnsi="Times New Roman"/>
          <w:sz w:val="24"/>
          <w:szCs w:val="24"/>
        </w:rPr>
        <w:t xml:space="preserve"> Main challenges and issues that were identified in the present in-service teacher training approaches include for example geo-political constraints and resultant financial pressure, the fragmented approach to training programmes as well as prevailing management and coordination </w:t>
      </w:r>
      <w:r w:rsidR="009564AF">
        <w:rPr>
          <w:rFonts w:ascii="Times New Roman" w:hAnsi="Times New Roman"/>
          <w:sz w:val="24"/>
          <w:szCs w:val="24"/>
        </w:rPr>
        <w:t xml:space="preserve">programme </w:t>
      </w:r>
      <w:r w:rsidR="00C31E91">
        <w:rPr>
          <w:rFonts w:ascii="Times New Roman" w:hAnsi="Times New Roman"/>
          <w:sz w:val="24"/>
          <w:szCs w:val="24"/>
        </w:rPr>
        <w:t xml:space="preserve">structures in Palestine.  </w:t>
      </w:r>
    </w:p>
    <w:p w:rsidR="00B30272" w:rsidRDefault="00B30272" w:rsidP="006B724A">
      <w:pPr>
        <w:jc w:val="center"/>
        <w:rPr>
          <w:rFonts w:ascii="Times New Roman" w:hAnsi="Times New Roman"/>
          <w:sz w:val="24"/>
          <w:szCs w:val="24"/>
        </w:rPr>
      </w:pPr>
    </w:p>
    <w:p w:rsidR="00032559" w:rsidRDefault="00032559" w:rsidP="006B724A">
      <w:pPr>
        <w:jc w:val="both"/>
        <w:rPr>
          <w:rFonts w:ascii="Times New Roman" w:hAnsi="Times New Roman"/>
          <w:b/>
          <w:sz w:val="24"/>
          <w:szCs w:val="24"/>
        </w:rPr>
      </w:pPr>
    </w:p>
    <w:p w:rsidR="00032559" w:rsidRDefault="00032559" w:rsidP="006B724A">
      <w:pPr>
        <w:jc w:val="both"/>
        <w:rPr>
          <w:rFonts w:ascii="Times New Roman" w:hAnsi="Times New Roman"/>
          <w:b/>
          <w:sz w:val="24"/>
          <w:szCs w:val="24"/>
        </w:rPr>
      </w:pPr>
    </w:p>
    <w:p w:rsidR="00032559" w:rsidRDefault="00032559" w:rsidP="006B724A">
      <w:pPr>
        <w:jc w:val="both"/>
        <w:rPr>
          <w:rFonts w:ascii="Times New Roman" w:hAnsi="Times New Roman"/>
          <w:b/>
          <w:sz w:val="24"/>
          <w:szCs w:val="24"/>
        </w:rPr>
      </w:pPr>
    </w:p>
    <w:p w:rsidR="00032559" w:rsidRDefault="00032559" w:rsidP="006B724A">
      <w:pPr>
        <w:jc w:val="both"/>
        <w:rPr>
          <w:rFonts w:ascii="Times New Roman" w:hAnsi="Times New Roman"/>
          <w:b/>
          <w:sz w:val="24"/>
          <w:szCs w:val="24"/>
        </w:rPr>
      </w:pPr>
    </w:p>
    <w:p w:rsidR="00032559" w:rsidRDefault="00032559" w:rsidP="006B724A">
      <w:pPr>
        <w:jc w:val="both"/>
        <w:rPr>
          <w:rFonts w:ascii="Times New Roman" w:hAnsi="Times New Roman"/>
          <w:b/>
          <w:sz w:val="24"/>
          <w:szCs w:val="24"/>
        </w:rPr>
      </w:pPr>
    </w:p>
    <w:p w:rsidR="00032559" w:rsidRDefault="00032559" w:rsidP="006B724A">
      <w:pPr>
        <w:jc w:val="both"/>
        <w:rPr>
          <w:rFonts w:ascii="Times New Roman" w:hAnsi="Times New Roman"/>
          <w:b/>
          <w:sz w:val="24"/>
          <w:szCs w:val="24"/>
        </w:rPr>
      </w:pPr>
    </w:p>
    <w:p w:rsidR="00B30272" w:rsidRPr="00EE2FE4" w:rsidRDefault="00B30272" w:rsidP="006B724A">
      <w:pPr>
        <w:jc w:val="both"/>
        <w:rPr>
          <w:rFonts w:ascii="Times New Roman" w:hAnsi="Times New Roman"/>
          <w:b/>
          <w:sz w:val="24"/>
          <w:szCs w:val="24"/>
        </w:rPr>
      </w:pPr>
      <w:r w:rsidRPr="00EE2FE4">
        <w:rPr>
          <w:rFonts w:ascii="Times New Roman" w:hAnsi="Times New Roman"/>
          <w:b/>
          <w:sz w:val="24"/>
          <w:szCs w:val="24"/>
        </w:rPr>
        <w:t>Introduction</w:t>
      </w:r>
    </w:p>
    <w:p w:rsidR="00B30272" w:rsidRDefault="00B30272" w:rsidP="006B724A">
      <w:pPr>
        <w:jc w:val="both"/>
        <w:rPr>
          <w:rFonts w:ascii="Times New Roman" w:hAnsi="Times New Roman"/>
          <w:sz w:val="24"/>
          <w:szCs w:val="24"/>
        </w:rPr>
      </w:pPr>
      <w:r>
        <w:rPr>
          <w:rFonts w:ascii="Times New Roman" w:hAnsi="Times New Roman"/>
          <w:sz w:val="24"/>
          <w:szCs w:val="24"/>
        </w:rPr>
        <w:t>The education system in Palestine (the Occupied Palestinian Territories: Gaza</w:t>
      </w:r>
      <w:r w:rsidR="009026BC">
        <w:rPr>
          <w:rFonts w:ascii="Times New Roman" w:hAnsi="Times New Roman"/>
          <w:sz w:val="24"/>
          <w:szCs w:val="24"/>
        </w:rPr>
        <w:t>, East Jer</w:t>
      </w:r>
      <w:r w:rsidR="00994B44">
        <w:rPr>
          <w:rFonts w:ascii="Times New Roman" w:hAnsi="Times New Roman"/>
          <w:sz w:val="24"/>
          <w:szCs w:val="24"/>
        </w:rPr>
        <w:t>u</w:t>
      </w:r>
      <w:r w:rsidR="009026BC">
        <w:rPr>
          <w:rFonts w:ascii="Times New Roman" w:hAnsi="Times New Roman"/>
          <w:sz w:val="24"/>
          <w:szCs w:val="24"/>
        </w:rPr>
        <w:t>salem</w:t>
      </w:r>
      <w:r>
        <w:rPr>
          <w:rFonts w:ascii="Times New Roman" w:hAnsi="Times New Roman"/>
          <w:sz w:val="24"/>
          <w:szCs w:val="24"/>
        </w:rPr>
        <w:t xml:space="preserve"> and the West Bank) is only 18 years old and has operated under difficult circumstances from the beginning, including occupation, conflict and internal political divisions.  Inheriting a teaching cadre in 1994 who for decades had no or little professional development opportunities due to the lack of investment in Palestinian teachers, the Ministry of Education and Higher Education (M</w:t>
      </w:r>
      <w:r w:rsidR="00994B44">
        <w:rPr>
          <w:rFonts w:ascii="Times New Roman" w:hAnsi="Times New Roman"/>
          <w:sz w:val="24"/>
          <w:szCs w:val="24"/>
        </w:rPr>
        <w:t>O</w:t>
      </w:r>
      <w:r>
        <w:rPr>
          <w:rFonts w:ascii="Times New Roman" w:hAnsi="Times New Roman"/>
          <w:sz w:val="24"/>
          <w:szCs w:val="24"/>
        </w:rPr>
        <w:t>EHE) was challenged to bring</w:t>
      </w:r>
      <w:r w:rsidR="00994B44">
        <w:rPr>
          <w:rFonts w:ascii="Times New Roman" w:hAnsi="Times New Roman"/>
          <w:sz w:val="24"/>
          <w:szCs w:val="24"/>
        </w:rPr>
        <w:t xml:space="preserve"> their skills up to date (UNICEF</w:t>
      </w:r>
      <w:r>
        <w:rPr>
          <w:rFonts w:ascii="Times New Roman" w:hAnsi="Times New Roman"/>
          <w:sz w:val="24"/>
          <w:szCs w:val="24"/>
        </w:rPr>
        <w:t xml:space="preserve">, 2011). UNICEF however notes in 2011 that the Palestinian education system has nevertheless managed to produce one of the most educated populations in the region and has some of the highest indicators of education achievement including high enrolment rates and adult literacy rates, particularly for women (UNICEF, 2011).  </w:t>
      </w:r>
    </w:p>
    <w:p w:rsidR="00B30272" w:rsidRDefault="00B30272" w:rsidP="006B724A">
      <w:pPr>
        <w:jc w:val="both"/>
        <w:rPr>
          <w:rFonts w:ascii="Times New Roman" w:hAnsi="Times New Roman"/>
          <w:sz w:val="24"/>
          <w:szCs w:val="24"/>
        </w:rPr>
      </w:pPr>
      <w:r>
        <w:rPr>
          <w:rFonts w:ascii="Times New Roman" w:hAnsi="Times New Roman"/>
          <w:sz w:val="24"/>
          <w:szCs w:val="24"/>
        </w:rPr>
        <w:t>This chapter focuses on the development of in-service teacher education in the Occupied Palestinian Territories with an emphasis on the period 200</w:t>
      </w:r>
      <w:r w:rsidR="00343B36">
        <w:rPr>
          <w:rFonts w:ascii="Times New Roman" w:hAnsi="Times New Roman"/>
          <w:sz w:val="24"/>
          <w:szCs w:val="24"/>
        </w:rPr>
        <w:t>5</w:t>
      </w:r>
      <w:r>
        <w:rPr>
          <w:rFonts w:ascii="Times New Roman" w:hAnsi="Times New Roman"/>
          <w:sz w:val="24"/>
          <w:szCs w:val="24"/>
        </w:rPr>
        <w:t>-2013.</w:t>
      </w:r>
      <w:r w:rsidR="00507832">
        <w:rPr>
          <w:rFonts w:ascii="Times New Roman" w:hAnsi="Times New Roman"/>
          <w:sz w:val="24"/>
          <w:szCs w:val="24"/>
        </w:rPr>
        <w:t xml:space="preserve"> </w:t>
      </w:r>
    </w:p>
    <w:p w:rsidR="00B30272" w:rsidRPr="00994B44" w:rsidRDefault="00DD4203" w:rsidP="006B724A">
      <w:pPr>
        <w:jc w:val="both"/>
        <w:rPr>
          <w:rFonts w:ascii="Times New Roman" w:hAnsi="Times New Roman"/>
          <w:b/>
          <w:sz w:val="24"/>
          <w:szCs w:val="24"/>
        </w:rPr>
      </w:pPr>
      <w:r w:rsidRPr="00994B44">
        <w:rPr>
          <w:rFonts w:ascii="Times New Roman" w:hAnsi="Times New Roman"/>
          <w:b/>
          <w:sz w:val="24"/>
          <w:szCs w:val="24"/>
        </w:rPr>
        <w:t>Background to i</w:t>
      </w:r>
      <w:r w:rsidR="00B30272" w:rsidRPr="00994B44">
        <w:rPr>
          <w:rFonts w:ascii="Times New Roman" w:hAnsi="Times New Roman"/>
          <w:b/>
          <w:sz w:val="24"/>
          <w:szCs w:val="24"/>
        </w:rPr>
        <w:t xml:space="preserve">n-service teachers training and re-training programmes </w:t>
      </w:r>
    </w:p>
    <w:p w:rsidR="00B30272" w:rsidRPr="0089460B" w:rsidRDefault="00B30272" w:rsidP="008E18A9">
      <w:pPr>
        <w:pStyle w:val="ListParagraph"/>
        <w:numPr>
          <w:ilvl w:val="0"/>
          <w:numId w:val="1"/>
        </w:numPr>
        <w:jc w:val="both"/>
        <w:rPr>
          <w:rFonts w:ascii="Times New Roman" w:hAnsi="Times New Roman"/>
          <w:sz w:val="24"/>
          <w:szCs w:val="24"/>
        </w:rPr>
      </w:pPr>
      <w:r>
        <w:rPr>
          <w:rFonts w:ascii="Times New Roman" w:hAnsi="Times New Roman"/>
          <w:b/>
          <w:sz w:val="24"/>
          <w:szCs w:val="24"/>
        </w:rPr>
        <w:t>1948 - 2007</w:t>
      </w:r>
    </w:p>
    <w:p w:rsidR="00B30272" w:rsidRPr="00511AB4" w:rsidRDefault="00B30272" w:rsidP="0089460B">
      <w:pPr>
        <w:jc w:val="both"/>
        <w:rPr>
          <w:rFonts w:ascii="Times New Roman" w:hAnsi="Times New Roman"/>
          <w:sz w:val="24"/>
          <w:szCs w:val="24"/>
        </w:rPr>
      </w:pPr>
      <w:r>
        <w:rPr>
          <w:rFonts w:ascii="Times New Roman" w:hAnsi="Times New Roman"/>
          <w:sz w:val="24"/>
          <w:szCs w:val="24"/>
        </w:rPr>
        <w:t xml:space="preserve">Any discussion on education and teacher education in </w:t>
      </w:r>
      <w:smartTag w:uri="urn:schemas-microsoft-com:office:smarttags" w:element="City">
        <w:smartTag w:uri="urn:schemas-microsoft-com:office:smarttags" w:element="place">
          <w:r>
            <w:rPr>
              <w:rFonts w:ascii="Times New Roman" w:hAnsi="Times New Roman"/>
              <w:sz w:val="24"/>
              <w:szCs w:val="24"/>
            </w:rPr>
            <w:t>Palestine</w:t>
          </w:r>
        </w:smartTag>
      </w:smartTag>
      <w:r>
        <w:rPr>
          <w:rFonts w:ascii="Times New Roman" w:hAnsi="Times New Roman"/>
          <w:sz w:val="24"/>
          <w:szCs w:val="24"/>
        </w:rPr>
        <w:t xml:space="preserve"> needs to take the region’s complex history into account.  The formation of the state of </w:t>
      </w:r>
      <w:smartTag w:uri="urn:schemas-microsoft-com:office:smarttags" w:element="City">
        <w:smartTag w:uri="urn:schemas-microsoft-com:office:smarttags" w:element="place">
          <w:smartTag w:uri="urn:schemas-microsoft-com:office:smarttags" w:element="country-region">
            <w:r>
              <w:rPr>
                <w:rFonts w:ascii="Times New Roman" w:hAnsi="Times New Roman"/>
                <w:sz w:val="24"/>
                <w:szCs w:val="24"/>
              </w:rPr>
              <w:t>Israel</w:t>
            </w:r>
          </w:smartTag>
        </w:smartTag>
      </w:smartTag>
      <w:r>
        <w:rPr>
          <w:rFonts w:ascii="Times New Roman" w:hAnsi="Times New Roman"/>
          <w:sz w:val="24"/>
          <w:szCs w:val="24"/>
        </w:rPr>
        <w:t xml:space="preserve"> in 1948 led to a series of territorial disputes over borders and as the territory fell into war 750,000 Arab Palestinians fled to neighbouring countries.  After an armistice was declared in 1949 the West Bank of the Jordan River up to East Jerusalem was absorbed by the state of </w:t>
      </w:r>
      <w:smartTag w:uri="urn:schemas-microsoft-com:office:smarttags" w:element="City">
        <w:smartTag w:uri="urn:schemas-microsoft-com:office:smarttags" w:element="country-region">
          <w:r>
            <w:rPr>
              <w:rFonts w:ascii="Times New Roman" w:hAnsi="Times New Roman"/>
              <w:sz w:val="24"/>
              <w:szCs w:val="24"/>
            </w:rPr>
            <w:t>Jordan</w:t>
          </w:r>
        </w:smartTag>
      </w:smartTag>
      <w:r>
        <w:rPr>
          <w:rFonts w:ascii="Times New Roman" w:hAnsi="Times New Roman"/>
          <w:sz w:val="24"/>
          <w:szCs w:val="24"/>
        </w:rPr>
        <w:t xml:space="preserve"> and </w:t>
      </w:r>
      <w:smartTag w:uri="urn:schemas-microsoft-com:office:smarttags" w:element="City">
        <w:r>
          <w:rPr>
            <w:rFonts w:ascii="Times New Roman" w:hAnsi="Times New Roman"/>
            <w:sz w:val="24"/>
            <w:szCs w:val="24"/>
          </w:rPr>
          <w:t>Gaza</w:t>
        </w:r>
      </w:smartTag>
      <w:r>
        <w:rPr>
          <w:rFonts w:ascii="Times New Roman" w:hAnsi="Times New Roman"/>
          <w:sz w:val="24"/>
          <w:szCs w:val="24"/>
        </w:rPr>
        <w:t xml:space="preserve"> was occupied by </w:t>
      </w:r>
      <w:smartTag w:uri="urn:schemas-microsoft-com:office:smarttags" w:element="City">
        <w:smartTag w:uri="urn:schemas-microsoft-com:office:smarttags" w:element="place">
          <w:smartTag w:uri="urn:schemas-microsoft-com:office:smarttags" w:element="country-region">
            <w:r>
              <w:rPr>
                <w:rFonts w:ascii="Times New Roman" w:hAnsi="Times New Roman"/>
                <w:sz w:val="24"/>
                <w:szCs w:val="24"/>
              </w:rPr>
              <w:t>Egypt</w:t>
            </w:r>
          </w:smartTag>
        </w:smartTag>
      </w:smartTag>
      <w:r>
        <w:rPr>
          <w:rFonts w:ascii="Times New Roman" w:hAnsi="Times New Roman"/>
          <w:sz w:val="24"/>
          <w:szCs w:val="24"/>
        </w:rPr>
        <w:t xml:space="preserve">.  The education system in </w:t>
      </w:r>
      <w:r w:rsidRPr="00E72970">
        <w:rPr>
          <w:rFonts w:ascii="Times New Roman" w:hAnsi="Times New Roman"/>
          <w:sz w:val="24"/>
          <w:szCs w:val="24"/>
        </w:rPr>
        <w:t>the</w:t>
      </w:r>
      <w:r>
        <w:rPr>
          <w:rFonts w:ascii="Times New Roman" w:hAnsi="Times New Roman"/>
          <w:sz w:val="24"/>
          <w:szCs w:val="24"/>
        </w:rPr>
        <w:t xml:space="preserve"> </w:t>
      </w:r>
      <w:r w:rsidRPr="00E72970">
        <w:rPr>
          <w:rFonts w:ascii="Times New Roman" w:hAnsi="Times New Roman"/>
          <w:sz w:val="24"/>
          <w:szCs w:val="24"/>
        </w:rPr>
        <w:t>West</w:t>
      </w:r>
      <w:r>
        <w:rPr>
          <w:rFonts w:ascii="Times New Roman" w:hAnsi="Times New Roman"/>
          <w:sz w:val="24"/>
          <w:szCs w:val="24"/>
        </w:rPr>
        <w:t xml:space="preserve"> Bank was fully absorbed in the Jordanian system while schools in </w:t>
      </w:r>
      <w:smartTag w:uri="urn:schemas-microsoft-com:office:smarttags" w:element="City">
        <w:smartTag w:uri="urn:schemas-microsoft-com:office:smarttags" w:element="place">
          <w:r>
            <w:rPr>
              <w:rFonts w:ascii="Times New Roman" w:hAnsi="Times New Roman"/>
              <w:sz w:val="24"/>
              <w:szCs w:val="24"/>
            </w:rPr>
            <w:t>Gaza</w:t>
          </w:r>
        </w:smartTag>
      </w:smartTag>
      <w:r>
        <w:rPr>
          <w:rFonts w:ascii="Times New Roman" w:hAnsi="Times New Roman"/>
          <w:sz w:val="24"/>
          <w:szCs w:val="24"/>
        </w:rPr>
        <w:t xml:space="preserve"> switched to the Egyptian curriculum.  During the six-day war in 1967 </w:t>
      </w:r>
      <w:smartTag w:uri="urn:schemas-microsoft-com:office:smarttags" w:element="City">
        <w:smartTag w:uri="urn:schemas-microsoft-com:office:smarttags" w:element="country-region">
          <w:r>
            <w:rPr>
              <w:rFonts w:ascii="Times New Roman" w:hAnsi="Times New Roman"/>
              <w:sz w:val="24"/>
              <w:szCs w:val="24"/>
            </w:rPr>
            <w:t>Israel</w:t>
          </w:r>
        </w:smartTag>
      </w:smartTag>
      <w:r>
        <w:rPr>
          <w:rFonts w:ascii="Times New Roman" w:hAnsi="Times New Roman"/>
          <w:sz w:val="24"/>
          <w:szCs w:val="24"/>
        </w:rPr>
        <w:t xml:space="preserve"> conquered territories of the West Bank, </w:t>
      </w:r>
      <w:smartTag w:uri="urn:schemas-microsoft-com:office:smarttags" w:element="City">
        <w:r>
          <w:rPr>
            <w:rFonts w:ascii="Times New Roman" w:hAnsi="Times New Roman"/>
            <w:sz w:val="24"/>
            <w:szCs w:val="24"/>
          </w:rPr>
          <w:t>Gaza</w:t>
        </w:r>
      </w:smartTag>
      <w:r>
        <w:rPr>
          <w:rFonts w:ascii="Times New Roman" w:hAnsi="Times New Roman"/>
          <w:sz w:val="24"/>
          <w:szCs w:val="24"/>
        </w:rPr>
        <w:t xml:space="preserve"> and </w:t>
      </w:r>
      <w:smartTag w:uri="urn:schemas-microsoft-com:office:smarttags" w:element="City">
        <w:smartTag w:uri="urn:schemas-microsoft-com:office:smarttags" w:element="place">
          <w:r>
            <w:rPr>
              <w:rFonts w:ascii="Times New Roman" w:hAnsi="Times New Roman"/>
              <w:sz w:val="24"/>
              <w:szCs w:val="24"/>
            </w:rPr>
            <w:t>East Jerusalem</w:t>
          </w:r>
        </w:smartTag>
      </w:smartTag>
      <w:r>
        <w:rPr>
          <w:rFonts w:ascii="Times New Roman" w:hAnsi="Times New Roman"/>
          <w:sz w:val="24"/>
          <w:szCs w:val="24"/>
        </w:rPr>
        <w:t xml:space="preserve"> and over the first 12 years of occupation the education system fell directly under the authority of the Israeli Military Governor.  The education systems developed under Jordanian and Egyptian rule were retained but construction of schools was stopped and the training of teachers received little to no support.  The </w:t>
      </w:r>
      <w:r>
        <w:rPr>
          <w:rFonts w:ascii="Times New Roman" w:hAnsi="Times New Roman"/>
          <w:i/>
          <w:sz w:val="24"/>
          <w:szCs w:val="24"/>
        </w:rPr>
        <w:t>first Intifada</w:t>
      </w:r>
      <w:r>
        <w:rPr>
          <w:rFonts w:ascii="Times New Roman" w:hAnsi="Times New Roman"/>
          <w:sz w:val="24"/>
          <w:szCs w:val="24"/>
        </w:rPr>
        <w:t xml:space="preserve"> </w:t>
      </w:r>
      <w:r w:rsidR="00507832">
        <w:rPr>
          <w:rFonts w:ascii="Times New Roman" w:hAnsi="Times New Roman"/>
          <w:sz w:val="24"/>
          <w:szCs w:val="24"/>
        </w:rPr>
        <w:t xml:space="preserve">or uprising </w:t>
      </w:r>
      <w:r>
        <w:rPr>
          <w:rFonts w:ascii="Times New Roman" w:hAnsi="Times New Roman"/>
          <w:sz w:val="24"/>
          <w:szCs w:val="24"/>
        </w:rPr>
        <w:t>started in 1987 and many schools were closed for periods ranging from two months to two years at a time and many teachers were obliged to accept compulsory retirement, arbitrary transfer or deduction of pay (Altinok, 2010).</w:t>
      </w:r>
    </w:p>
    <w:p w:rsidR="00B30272" w:rsidRDefault="00B30272" w:rsidP="006B724A">
      <w:pPr>
        <w:jc w:val="both"/>
        <w:rPr>
          <w:rFonts w:ascii="Times New Roman" w:hAnsi="Times New Roman"/>
          <w:sz w:val="24"/>
          <w:szCs w:val="24"/>
        </w:rPr>
      </w:pPr>
      <w:r>
        <w:rPr>
          <w:rFonts w:ascii="Times New Roman" w:hAnsi="Times New Roman"/>
          <w:sz w:val="24"/>
          <w:szCs w:val="24"/>
        </w:rPr>
        <w:t>Since 1994 when the Israeli Civil Administration handed over the administration and running of all public education institutions to the Palestinian National Authority, the priority was to rehabilitate an education system close to collapse.  The two separate education systems (Egyptian and Jordanian) in two geographically unconnected areas (</w:t>
      </w:r>
      <w:smartTag w:uri="urn:schemas-microsoft-com:office:smarttags" w:element="City">
        <w:r>
          <w:rPr>
            <w:rFonts w:ascii="Times New Roman" w:hAnsi="Times New Roman"/>
            <w:sz w:val="24"/>
            <w:szCs w:val="24"/>
          </w:rPr>
          <w:t>Gaza</w:t>
        </w:r>
      </w:smartTag>
      <w:r>
        <w:rPr>
          <w:rFonts w:ascii="Times New Roman" w:hAnsi="Times New Roman"/>
          <w:sz w:val="24"/>
          <w:szCs w:val="24"/>
        </w:rPr>
        <w:t xml:space="preserve"> and the </w:t>
      </w:r>
      <w:smartTag w:uri="urn:schemas-microsoft-com:office:smarttags" w:element="City">
        <w:smartTag w:uri="urn:schemas-microsoft-com:office:smarttags" w:element="place">
          <w:r>
            <w:rPr>
              <w:rFonts w:ascii="Times New Roman" w:hAnsi="Times New Roman"/>
              <w:sz w:val="24"/>
              <w:szCs w:val="24"/>
            </w:rPr>
            <w:t>West Bank</w:t>
          </w:r>
        </w:smartTag>
      </w:smartTag>
      <w:r>
        <w:rPr>
          <w:rFonts w:ascii="Times New Roman" w:hAnsi="Times New Roman"/>
          <w:sz w:val="24"/>
          <w:szCs w:val="24"/>
        </w:rPr>
        <w:t xml:space="preserve">) needed to be harmonized in order to build a unified education system (Altinok, 2010). The majority of teachers and school administrators had no formal training in teaching and the priority between 1995 and 2000 was therefore to initiate efforts to upgrade the qualifications of the teaching staff in the absence of a well-functioning system of pre-service teacher education. As a first step, each teacher received on average about 7 days training and head </w:t>
      </w:r>
      <w:r>
        <w:rPr>
          <w:rFonts w:ascii="Times New Roman" w:hAnsi="Times New Roman"/>
          <w:sz w:val="24"/>
          <w:szCs w:val="24"/>
        </w:rPr>
        <w:lastRenderedPageBreak/>
        <w:t>teachers about 90 hours during the period 1996 and 2000 (Ministry of Ed</w:t>
      </w:r>
      <w:r w:rsidR="00994B44">
        <w:rPr>
          <w:rFonts w:ascii="Times New Roman" w:hAnsi="Times New Roman"/>
          <w:sz w:val="24"/>
          <w:szCs w:val="24"/>
        </w:rPr>
        <w:t>ucation and Higher Education (MO</w:t>
      </w:r>
      <w:r>
        <w:rPr>
          <w:rFonts w:ascii="Times New Roman" w:hAnsi="Times New Roman"/>
          <w:sz w:val="24"/>
          <w:szCs w:val="24"/>
        </w:rPr>
        <w:t>EHE</w:t>
      </w:r>
      <w:r w:rsidR="00994B44">
        <w:rPr>
          <w:rFonts w:ascii="Times New Roman" w:hAnsi="Times New Roman"/>
          <w:sz w:val="24"/>
          <w:szCs w:val="24"/>
        </w:rPr>
        <w:t>,</w:t>
      </w:r>
      <w:r>
        <w:rPr>
          <w:rFonts w:ascii="Times New Roman" w:hAnsi="Times New Roman"/>
          <w:sz w:val="24"/>
          <w:szCs w:val="24"/>
        </w:rPr>
        <w:t xml:space="preserve"> 2006).  </w:t>
      </w:r>
    </w:p>
    <w:p w:rsidR="004663B7" w:rsidRDefault="00B30272" w:rsidP="006B724A">
      <w:pPr>
        <w:jc w:val="both"/>
        <w:rPr>
          <w:rFonts w:ascii="Times New Roman" w:hAnsi="Times New Roman"/>
          <w:sz w:val="24"/>
          <w:szCs w:val="24"/>
        </w:rPr>
      </w:pPr>
      <w:r>
        <w:rPr>
          <w:rFonts w:ascii="Times New Roman" w:hAnsi="Times New Roman"/>
          <w:sz w:val="24"/>
          <w:szCs w:val="24"/>
        </w:rPr>
        <w:t xml:space="preserve">By 2000 and the establishment of the first 5-year Education Development Strategic Plan there were two major challenges in respect of the professional development of educators: the challenge of a new curriculum and teacher training. </w:t>
      </w:r>
      <w:r w:rsidR="006C41B6">
        <w:rPr>
          <w:rFonts w:ascii="Times New Roman" w:hAnsi="Times New Roman"/>
          <w:sz w:val="24"/>
          <w:szCs w:val="24"/>
        </w:rPr>
        <w:t xml:space="preserve">For the first there needed to be a plan to train every teacher in every subject in the new curriculum – essential training that every teacher needed to attend.  </w:t>
      </w:r>
      <w:r w:rsidR="004663B7">
        <w:rPr>
          <w:rFonts w:ascii="Times New Roman" w:hAnsi="Times New Roman"/>
          <w:sz w:val="24"/>
          <w:szCs w:val="24"/>
        </w:rPr>
        <w:t xml:space="preserve">One of the most important departures from the old Egyptian and Jordanian curricula was the inclusion of civic education, health and environment as well as English language in Grade 1.  </w:t>
      </w:r>
      <w:r w:rsidR="007C4B39">
        <w:rPr>
          <w:rFonts w:ascii="Times New Roman" w:hAnsi="Times New Roman"/>
          <w:sz w:val="24"/>
          <w:szCs w:val="24"/>
        </w:rPr>
        <w:t>It needs to be noted that a</w:t>
      </w:r>
      <w:r w:rsidR="004663B7">
        <w:rPr>
          <w:rFonts w:ascii="Times New Roman" w:hAnsi="Times New Roman"/>
          <w:sz w:val="24"/>
          <w:szCs w:val="24"/>
        </w:rPr>
        <w:t>lthough the curriculum endeavours to promote more active learning</w:t>
      </w:r>
      <w:r w:rsidR="007C4B39">
        <w:rPr>
          <w:rFonts w:ascii="Times New Roman" w:hAnsi="Times New Roman"/>
          <w:sz w:val="24"/>
          <w:szCs w:val="24"/>
        </w:rPr>
        <w:t>,</w:t>
      </w:r>
      <w:r w:rsidR="004663B7">
        <w:rPr>
          <w:rFonts w:ascii="Times New Roman" w:hAnsi="Times New Roman"/>
          <w:sz w:val="24"/>
          <w:szCs w:val="24"/>
        </w:rPr>
        <w:t xml:space="preserve"> its volume and complexity have been criticised and have </w:t>
      </w:r>
      <w:r w:rsidR="00CE47E9">
        <w:rPr>
          <w:rFonts w:ascii="Times New Roman" w:hAnsi="Times New Roman"/>
          <w:sz w:val="24"/>
          <w:szCs w:val="24"/>
        </w:rPr>
        <w:t>undermined teachers</w:t>
      </w:r>
      <w:r w:rsidR="00507832">
        <w:rPr>
          <w:rFonts w:ascii="Times New Roman" w:hAnsi="Times New Roman"/>
          <w:sz w:val="24"/>
          <w:szCs w:val="24"/>
        </w:rPr>
        <w:t>’</w:t>
      </w:r>
      <w:r w:rsidR="00CE47E9">
        <w:rPr>
          <w:rFonts w:ascii="Times New Roman" w:hAnsi="Times New Roman"/>
          <w:sz w:val="24"/>
          <w:szCs w:val="24"/>
        </w:rPr>
        <w:t xml:space="preserve"> abilities to translate the training they have received into effective classroom practices that would promote effective learning outcomes</w:t>
      </w:r>
      <w:r w:rsidR="004663B7">
        <w:rPr>
          <w:rFonts w:ascii="Times New Roman" w:hAnsi="Times New Roman"/>
          <w:sz w:val="24"/>
          <w:szCs w:val="24"/>
        </w:rPr>
        <w:t xml:space="preserve"> (UNICEFF, 2011).</w:t>
      </w:r>
    </w:p>
    <w:p w:rsidR="009F3683" w:rsidRDefault="006C41B6" w:rsidP="006B724A">
      <w:pPr>
        <w:jc w:val="both"/>
        <w:rPr>
          <w:rFonts w:ascii="Times New Roman" w:hAnsi="Times New Roman"/>
          <w:sz w:val="24"/>
          <w:szCs w:val="24"/>
        </w:rPr>
      </w:pPr>
      <w:r>
        <w:rPr>
          <w:rFonts w:ascii="Times New Roman" w:hAnsi="Times New Roman"/>
          <w:sz w:val="24"/>
          <w:szCs w:val="24"/>
        </w:rPr>
        <w:t>Regarding teacher training, the absence of a coherent and well</w:t>
      </w:r>
      <w:r w:rsidR="00574593">
        <w:rPr>
          <w:rFonts w:ascii="Times New Roman" w:hAnsi="Times New Roman"/>
          <w:sz w:val="24"/>
          <w:szCs w:val="24"/>
        </w:rPr>
        <w:t>-</w:t>
      </w:r>
      <w:r>
        <w:rPr>
          <w:rFonts w:ascii="Times New Roman" w:hAnsi="Times New Roman"/>
          <w:sz w:val="24"/>
          <w:szCs w:val="24"/>
        </w:rPr>
        <w:t>functioning system of pre-service teacher training led to the essential need for in-</w:t>
      </w:r>
      <w:r w:rsidR="00574593">
        <w:rPr>
          <w:rFonts w:ascii="Times New Roman" w:hAnsi="Times New Roman"/>
          <w:sz w:val="24"/>
          <w:szCs w:val="24"/>
        </w:rPr>
        <w:t>s</w:t>
      </w:r>
      <w:r>
        <w:rPr>
          <w:rFonts w:ascii="Times New Roman" w:hAnsi="Times New Roman"/>
          <w:sz w:val="24"/>
          <w:szCs w:val="24"/>
        </w:rPr>
        <w:t>ervice training for all teachers new to teaching (</w:t>
      </w:r>
      <w:r w:rsidR="00343B36">
        <w:rPr>
          <w:rFonts w:ascii="Times New Roman" w:hAnsi="Times New Roman"/>
          <w:sz w:val="24"/>
          <w:szCs w:val="24"/>
        </w:rPr>
        <w:t>MOEHE, 2006</w:t>
      </w:r>
      <w:r>
        <w:rPr>
          <w:rFonts w:ascii="Times New Roman" w:hAnsi="Times New Roman"/>
          <w:sz w:val="24"/>
          <w:szCs w:val="24"/>
        </w:rPr>
        <w:t xml:space="preserve">).  </w:t>
      </w:r>
      <w:r w:rsidR="00B30272">
        <w:rPr>
          <w:rFonts w:ascii="Times New Roman" w:hAnsi="Times New Roman"/>
          <w:sz w:val="24"/>
          <w:szCs w:val="24"/>
        </w:rPr>
        <w:t>The first 5-year Education Development Strategic Plan therefore included the notion that all teachers have an entitlement to training and that attendance of some of these programmes was essential (M</w:t>
      </w:r>
      <w:r w:rsidR="008A155F">
        <w:rPr>
          <w:rFonts w:ascii="Times New Roman" w:hAnsi="Times New Roman"/>
          <w:sz w:val="24"/>
          <w:szCs w:val="24"/>
        </w:rPr>
        <w:t>O</w:t>
      </w:r>
      <w:r w:rsidR="00B30272">
        <w:rPr>
          <w:rFonts w:ascii="Times New Roman" w:hAnsi="Times New Roman"/>
          <w:sz w:val="24"/>
          <w:szCs w:val="24"/>
        </w:rPr>
        <w:t>EHE</w:t>
      </w:r>
      <w:r w:rsidR="008A155F">
        <w:rPr>
          <w:rFonts w:ascii="Times New Roman" w:hAnsi="Times New Roman"/>
          <w:sz w:val="24"/>
          <w:szCs w:val="24"/>
        </w:rPr>
        <w:t>,</w:t>
      </w:r>
      <w:r w:rsidR="00B30272">
        <w:rPr>
          <w:rFonts w:ascii="Times New Roman" w:hAnsi="Times New Roman"/>
          <w:sz w:val="24"/>
          <w:szCs w:val="24"/>
        </w:rPr>
        <w:t xml:space="preserve"> 2006). As a result </w:t>
      </w:r>
      <w:r>
        <w:rPr>
          <w:rFonts w:ascii="Times New Roman" w:hAnsi="Times New Roman"/>
          <w:sz w:val="24"/>
          <w:szCs w:val="24"/>
        </w:rPr>
        <w:t xml:space="preserve">obligatory programmes were designed in 2000 to meet </w:t>
      </w:r>
      <w:r w:rsidR="00B30272">
        <w:rPr>
          <w:rFonts w:ascii="Times New Roman" w:hAnsi="Times New Roman"/>
          <w:sz w:val="24"/>
          <w:szCs w:val="24"/>
        </w:rPr>
        <w:t xml:space="preserve">the </w:t>
      </w:r>
      <w:r>
        <w:rPr>
          <w:rFonts w:ascii="Times New Roman" w:hAnsi="Times New Roman"/>
          <w:sz w:val="24"/>
          <w:szCs w:val="24"/>
        </w:rPr>
        <w:t xml:space="preserve">needs of individual teachers and in addition the more demand-led </w:t>
      </w:r>
      <w:r w:rsidR="00B30272">
        <w:rPr>
          <w:rFonts w:ascii="Times New Roman" w:hAnsi="Times New Roman"/>
          <w:sz w:val="24"/>
          <w:szCs w:val="24"/>
        </w:rPr>
        <w:t xml:space="preserve">School as a Unit for Training (SUT) programme was developed, primarily to support </w:t>
      </w:r>
      <w:r>
        <w:rPr>
          <w:rFonts w:ascii="Times New Roman" w:hAnsi="Times New Roman"/>
          <w:sz w:val="24"/>
          <w:szCs w:val="24"/>
        </w:rPr>
        <w:t xml:space="preserve">the needs of teachers within the context of </w:t>
      </w:r>
      <w:r w:rsidR="00B30272">
        <w:rPr>
          <w:rFonts w:ascii="Times New Roman" w:hAnsi="Times New Roman"/>
          <w:sz w:val="24"/>
          <w:szCs w:val="24"/>
        </w:rPr>
        <w:t>schools</w:t>
      </w:r>
      <w:r>
        <w:rPr>
          <w:rFonts w:ascii="Times New Roman" w:hAnsi="Times New Roman"/>
          <w:sz w:val="24"/>
          <w:szCs w:val="24"/>
        </w:rPr>
        <w:t>.  The SUT programme therefore</w:t>
      </w:r>
      <w:r w:rsidR="00B30272">
        <w:rPr>
          <w:rFonts w:ascii="Times New Roman" w:hAnsi="Times New Roman"/>
          <w:sz w:val="24"/>
          <w:szCs w:val="24"/>
        </w:rPr>
        <w:t xml:space="preserve"> flexibly relate</w:t>
      </w:r>
      <w:r>
        <w:rPr>
          <w:rFonts w:ascii="Times New Roman" w:hAnsi="Times New Roman"/>
          <w:sz w:val="24"/>
          <w:szCs w:val="24"/>
        </w:rPr>
        <w:t>d teachers</w:t>
      </w:r>
      <w:r w:rsidR="00507832">
        <w:rPr>
          <w:rFonts w:ascii="Times New Roman" w:hAnsi="Times New Roman"/>
          <w:sz w:val="24"/>
          <w:szCs w:val="24"/>
        </w:rPr>
        <w:t>’</w:t>
      </w:r>
      <w:r>
        <w:rPr>
          <w:rFonts w:ascii="Times New Roman" w:hAnsi="Times New Roman"/>
          <w:sz w:val="24"/>
          <w:szCs w:val="24"/>
        </w:rPr>
        <w:t xml:space="preserve"> training needs</w:t>
      </w:r>
      <w:r w:rsidR="00B30272">
        <w:rPr>
          <w:rFonts w:ascii="Times New Roman" w:hAnsi="Times New Roman"/>
          <w:sz w:val="24"/>
          <w:szCs w:val="24"/>
        </w:rPr>
        <w:t xml:space="preserve"> to the development of their own contexts and </w:t>
      </w:r>
      <w:r w:rsidR="00507832">
        <w:rPr>
          <w:rFonts w:ascii="Times New Roman" w:hAnsi="Times New Roman"/>
          <w:sz w:val="24"/>
          <w:szCs w:val="24"/>
        </w:rPr>
        <w:t xml:space="preserve">also aimed </w:t>
      </w:r>
      <w:r w:rsidR="00B30272">
        <w:rPr>
          <w:rFonts w:ascii="Times New Roman" w:hAnsi="Times New Roman"/>
          <w:sz w:val="24"/>
          <w:szCs w:val="24"/>
        </w:rPr>
        <w:t xml:space="preserve">to enable school principals and teachers to take more responsibility for their own professional development.   An evaluation of the SUT programme in 2005 by the British Council with the support of the World Bank indicated that since 2000 almost every teacher in the Palestinian Authority were provided with some opportunities for training and that many have, to a reasonable extent,  benefitted from the experience.  However, the cascade model used </w:t>
      </w:r>
      <w:r w:rsidR="00574593">
        <w:rPr>
          <w:rFonts w:ascii="Times New Roman" w:hAnsi="Times New Roman"/>
          <w:sz w:val="24"/>
          <w:szCs w:val="24"/>
        </w:rPr>
        <w:t>in both programmes</w:t>
      </w:r>
      <w:r w:rsidR="00B30272">
        <w:rPr>
          <w:rFonts w:ascii="Times New Roman" w:hAnsi="Times New Roman"/>
          <w:sz w:val="24"/>
          <w:szCs w:val="24"/>
        </w:rPr>
        <w:t xml:space="preserve"> diluted </w:t>
      </w:r>
      <w:r w:rsidR="00574593">
        <w:rPr>
          <w:rFonts w:ascii="Times New Roman" w:hAnsi="Times New Roman"/>
          <w:sz w:val="24"/>
          <w:szCs w:val="24"/>
        </w:rPr>
        <w:t xml:space="preserve">the quality of teacher training </w:t>
      </w:r>
      <w:r w:rsidR="00B30272">
        <w:rPr>
          <w:rFonts w:ascii="Times New Roman" w:hAnsi="Times New Roman"/>
          <w:sz w:val="24"/>
          <w:szCs w:val="24"/>
        </w:rPr>
        <w:t>by the time it reached schools and its intended beneficiaries</w:t>
      </w:r>
      <w:r w:rsidR="00343B36">
        <w:rPr>
          <w:rFonts w:ascii="Times New Roman" w:hAnsi="Times New Roman"/>
          <w:sz w:val="24"/>
          <w:szCs w:val="24"/>
        </w:rPr>
        <w:t xml:space="preserve"> (MOEHE, 2006)</w:t>
      </w:r>
      <w:r w:rsidR="00B30272">
        <w:rPr>
          <w:rFonts w:ascii="Times New Roman" w:hAnsi="Times New Roman"/>
          <w:sz w:val="24"/>
          <w:szCs w:val="24"/>
        </w:rPr>
        <w:t xml:space="preserve">.  Also missing was an immediate follow-up on training impact as well as </w:t>
      </w:r>
      <w:r w:rsidR="008A155F">
        <w:rPr>
          <w:rFonts w:ascii="Times New Roman" w:hAnsi="Times New Roman"/>
          <w:sz w:val="24"/>
          <w:szCs w:val="24"/>
        </w:rPr>
        <w:t xml:space="preserve">continuous </w:t>
      </w:r>
      <w:r w:rsidR="00B30272">
        <w:rPr>
          <w:rFonts w:ascii="Times New Roman" w:hAnsi="Times New Roman"/>
          <w:sz w:val="24"/>
          <w:szCs w:val="24"/>
        </w:rPr>
        <w:t xml:space="preserve">in-school support to </w:t>
      </w:r>
      <w:r w:rsidR="00B30272" w:rsidRPr="00CE77B2">
        <w:rPr>
          <w:rFonts w:ascii="Times New Roman" w:hAnsi="Times New Roman"/>
          <w:sz w:val="24"/>
          <w:szCs w:val="24"/>
        </w:rPr>
        <w:t>teachers</w:t>
      </w:r>
      <w:r w:rsidR="00B30272">
        <w:rPr>
          <w:rFonts w:ascii="Times New Roman" w:hAnsi="Times New Roman"/>
          <w:sz w:val="24"/>
          <w:szCs w:val="24"/>
        </w:rPr>
        <w:t xml:space="preserve"> on the application of the new skills they had acquired through training (USAID, 2010).  </w:t>
      </w:r>
    </w:p>
    <w:p w:rsidR="00B30272" w:rsidRPr="00D03B86" w:rsidRDefault="00B30272" w:rsidP="006B724A">
      <w:pPr>
        <w:jc w:val="both"/>
        <w:rPr>
          <w:rFonts w:ascii="Times New Roman" w:hAnsi="Times New Roman"/>
          <w:sz w:val="24"/>
          <w:szCs w:val="24"/>
        </w:rPr>
      </w:pPr>
      <w:r>
        <w:rPr>
          <w:rFonts w:ascii="Times New Roman" w:hAnsi="Times New Roman"/>
          <w:sz w:val="24"/>
          <w:szCs w:val="24"/>
        </w:rPr>
        <w:t xml:space="preserve">It also needs to be noted that the implementation of this first 5-year plan including the SUT programme was influenced by the second </w:t>
      </w:r>
      <w:r>
        <w:rPr>
          <w:rFonts w:ascii="Times New Roman" w:hAnsi="Times New Roman"/>
          <w:i/>
          <w:sz w:val="24"/>
          <w:szCs w:val="24"/>
        </w:rPr>
        <w:t xml:space="preserve">Intifada </w:t>
      </w:r>
      <w:r w:rsidR="0050310F">
        <w:rPr>
          <w:rFonts w:ascii="Times New Roman" w:hAnsi="Times New Roman"/>
          <w:sz w:val="24"/>
          <w:szCs w:val="24"/>
        </w:rPr>
        <w:t xml:space="preserve">(2000 – 2005) </w:t>
      </w:r>
      <w:r>
        <w:rPr>
          <w:rFonts w:ascii="Times New Roman" w:hAnsi="Times New Roman"/>
          <w:sz w:val="24"/>
          <w:szCs w:val="24"/>
        </w:rPr>
        <w:t>that confronted the education system with repeated emergencies making school attendance and the coordination and delivery of education services at times almost impossible.</w:t>
      </w:r>
      <w:r w:rsidR="009F3683">
        <w:rPr>
          <w:rFonts w:ascii="Times New Roman" w:hAnsi="Times New Roman"/>
          <w:sz w:val="24"/>
          <w:szCs w:val="24"/>
        </w:rPr>
        <w:t xml:space="preserve"> UNICEF (</w:t>
      </w:r>
      <w:r w:rsidR="004663B7">
        <w:rPr>
          <w:rFonts w:ascii="Times New Roman" w:hAnsi="Times New Roman"/>
          <w:sz w:val="24"/>
          <w:szCs w:val="24"/>
        </w:rPr>
        <w:t>2011) points out that much of the school infrastructure was damaged, students and teachers were psychologically affected and children missed months of schooling due to military operations, curfews and closures.  The Palestinian Authority was forced to develop a complex emergency and regular situation plan that has defined and still is defining the nature and pattern of education provision.</w:t>
      </w:r>
    </w:p>
    <w:p w:rsidR="00B30272" w:rsidRPr="00332566" w:rsidRDefault="00B30272" w:rsidP="00332566">
      <w:pPr>
        <w:pStyle w:val="ListParagraph"/>
        <w:numPr>
          <w:ilvl w:val="0"/>
          <w:numId w:val="1"/>
        </w:numPr>
        <w:jc w:val="both"/>
        <w:rPr>
          <w:rFonts w:ascii="Times New Roman" w:hAnsi="Times New Roman"/>
          <w:sz w:val="24"/>
          <w:szCs w:val="24"/>
        </w:rPr>
      </w:pPr>
      <w:r>
        <w:rPr>
          <w:rFonts w:ascii="Times New Roman" w:hAnsi="Times New Roman"/>
          <w:b/>
          <w:sz w:val="24"/>
          <w:szCs w:val="24"/>
        </w:rPr>
        <w:lastRenderedPageBreak/>
        <w:t>The Second Five Year Plan and the National Teacher Education Strategy: development of in-service teacher education strategies</w:t>
      </w:r>
    </w:p>
    <w:p w:rsidR="00B30272" w:rsidRDefault="00B30272" w:rsidP="00E6079A">
      <w:pPr>
        <w:jc w:val="both"/>
        <w:rPr>
          <w:rFonts w:ascii="Times New Roman" w:hAnsi="Times New Roman"/>
          <w:sz w:val="24"/>
          <w:szCs w:val="24"/>
        </w:rPr>
      </w:pPr>
      <w:r w:rsidRPr="00332566">
        <w:rPr>
          <w:rFonts w:ascii="Times New Roman" w:hAnsi="Times New Roman"/>
          <w:sz w:val="24"/>
          <w:szCs w:val="24"/>
        </w:rPr>
        <w:t xml:space="preserve">The second five-year Education Development Strategic Plan (EDSP) (2008-2013) was launched in 2007 and the Teacher Education Strategy </w:t>
      </w:r>
      <w:r w:rsidR="001E737F">
        <w:rPr>
          <w:rFonts w:ascii="Times New Roman" w:hAnsi="Times New Roman"/>
          <w:sz w:val="24"/>
          <w:szCs w:val="24"/>
        </w:rPr>
        <w:t>in</w:t>
      </w:r>
      <w:r w:rsidR="001E737F" w:rsidRPr="00332566">
        <w:rPr>
          <w:rFonts w:ascii="Times New Roman" w:hAnsi="Times New Roman"/>
          <w:sz w:val="24"/>
          <w:szCs w:val="24"/>
        </w:rPr>
        <w:t xml:space="preserve"> </w:t>
      </w:r>
      <w:r w:rsidRPr="00332566">
        <w:rPr>
          <w:rFonts w:ascii="Times New Roman" w:hAnsi="Times New Roman"/>
          <w:sz w:val="24"/>
          <w:szCs w:val="24"/>
        </w:rPr>
        <w:t xml:space="preserve">Palestine </w:t>
      </w:r>
      <w:r>
        <w:rPr>
          <w:rFonts w:ascii="Times New Roman" w:hAnsi="Times New Roman"/>
          <w:sz w:val="24"/>
          <w:szCs w:val="24"/>
        </w:rPr>
        <w:t xml:space="preserve">(TESP) </w:t>
      </w:r>
      <w:r w:rsidRPr="00332566">
        <w:rPr>
          <w:rFonts w:ascii="Times New Roman" w:hAnsi="Times New Roman"/>
          <w:sz w:val="24"/>
          <w:szCs w:val="24"/>
        </w:rPr>
        <w:t>that is now the driving force behind present teacher training reforms, launched in 2008</w:t>
      </w:r>
      <w:r w:rsidR="00343B36">
        <w:rPr>
          <w:rFonts w:ascii="Times New Roman" w:hAnsi="Times New Roman"/>
          <w:sz w:val="24"/>
          <w:szCs w:val="24"/>
        </w:rPr>
        <w:t xml:space="preserve"> (MOEHE, 2008</w:t>
      </w:r>
      <w:r w:rsidR="00B2724E">
        <w:rPr>
          <w:rFonts w:ascii="Times New Roman" w:hAnsi="Times New Roman"/>
          <w:sz w:val="24"/>
          <w:szCs w:val="24"/>
        </w:rPr>
        <w:t xml:space="preserve"> a &amp; b</w:t>
      </w:r>
      <w:r w:rsidR="00343B36">
        <w:rPr>
          <w:rFonts w:ascii="Times New Roman" w:hAnsi="Times New Roman"/>
          <w:sz w:val="24"/>
          <w:szCs w:val="24"/>
        </w:rPr>
        <w:t>)</w:t>
      </w:r>
      <w:r w:rsidRPr="00332566">
        <w:rPr>
          <w:rFonts w:ascii="Times New Roman" w:hAnsi="Times New Roman"/>
          <w:sz w:val="24"/>
          <w:szCs w:val="24"/>
        </w:rPr>
        <w:t xml:space="preserve">.  Both these documents pay more attention to the performance and quality of institutions carrying out pre-service as well as in-service teacher training and both have as overarching vision </w:t>
      </w:r>
      <w:r w:rsidR="0050310F">
        <w:rPr>
          <w:rFonts w:ascii="Times New Roman" w:hAnsi="Times New Roman"/>
          <w:sz w:val="24"/>
          <w:szCs w:val="24"/>
        </w:rPr>
        <w:t xml:space="preserve">of </w:t>
      </w:r>
      <w:r w:rsidRPr="00332566">
        <w:rPr>
          <w:rFonts w:ascii="Times New Roman" w:hAnsi="Times New Roman"/>
          <w:sz w:val="24"/>
          <w:szCs w:val="24"/>
        </w:rPr>
        <w:t>the promotion of quality education for all in every educational institution in Palestine.  According to the EDSP and TESP, this vision requires a new kind of teacher with new roles following specific standards that consider the child to be at the centre of the educational process.  This will ultimately contribute to raising the professional and social status of teachers in order to enable them to educate children who are capable of facing the challenges of globalization and “</w:t>
      </w:r>
      <w:r w:rsidRPr="00332566">
        <w:rPr>
          <w:rFonts w:ascii="Times New Roman" w:hAnsi="Times New Roman"/>
          <w:i/>
          <w:sz w:val="24"/>
          <w:szCs w:val="24"/>
        </w:rPr>
        <w:t>able to build and live in an independent, democratic, just and diverse Palestinian society that is in harmony with Arab, Islamic</w:t>
      </w:r>
      <w:r w:rsidRPr="00332566">
        <w:rPr>
          <w:rFonts w:ascii="Times New Roman" w:hAnsi="Times New Roman"/>
          <w:sz w:val="24"/>
          <w:szCs w:val="24"/>
        </w:rPr>
        <w:t xml:space="preserve"> </w:t>
      </w:r>
      <w:r w:rsidRPr="00332566">
        <w:rPr>
          <w:rFonts w:ascii="Times New Roman" w:hAnsi="Times New Roman"/>
          <w:i/>
          <w:sz w:val="24"/>
          <w:szCs w:val="24"/>
        </w:rPr>
        <w:t>and human culture</w:t>
      </w:r>
      <w:r w:rsidRPr="00332566">
        <w:rPr>
          <w:rFonts w:ascii="Times New Roman" w:hAnsi="Times New Roman"/>
          <w:sz w:val="24"/>
          <w:szCs w:val="24"/>
        </w:rPr>
        <w:t xml:space="preserve">” (MoEHE, 2008: 8).  </w:t>
      </w:r>
    </w:p>
    <w:p w:rsidR="00B30272" w:rsidRDefault="00B30272" w:rsidP="00E6079A">
      <w:pPr>
        <w:jc w:val="both"/>
        <w:rPr>
          <w:rFonts w:ascii="Times New Roman" w:hAnsi="Times New Roman"/>
          <w:sz w:val="24"/>
          <w:szCs w:val="24"/>
        </w:rPr>
      </w:pPr>
      <w:r>
        <w:rPr>
          <w:rFonts w:ascii="Times New Roman" w:hAnsi="Times New Roman"/>
          <w:sz w:val="24"/>
          <w:szCs w:val="24"/>
        </w:rPr>
        <w:t xml:space="preserve">The Teacher Education Strategy </w:t>
      </w:r>
      <w:r w:rsidR="001E737F">
        <w:rPr>
          <w:rFonts w:ascii="Times New Roman" w:hAnsi="Times New Roman"/>
          <w:sz w:val="24"/>
          <w:szCs w:val="24"/>
        </w:rPr>
        <w:t>in</w:t>
      </w:r>
      <w:r w:rsidR="0050310F">
        <w:rPr>
          <w:rFonts w:ascii="Times New Roman" w:hAnsi="Times New Roman"/>
          <w:sz w:val="24"/>
          <w:szCs w:val="24"/>
        </w:rPr>
        <w:t xml:space="preserve"> Palestine </w:t>
      </w:r>
      <w:r>
        <w:rPr>
          <w:rFonts w:ascii="Times New Roman" w:hAnsi="Times New Roman"/>
          <w:sz w:val="24"/>
          <w:szCs w:val="24"/>
        </w:rPr>
        <w:t xml:space="preserve">(TESP) has proved to be the driving force behind the further development of teacher training reforms and highlights the need to reform university pre-service training, set national standards for both pre-service and in-service training and draws attention to adopting new and innovative approaches to in-service teacher training programmes.  </w:t>
      </w:r>
      <w:r w:rsidR="00574593">
        <w:rPr>
          <w:rFonts w:ascii="Times New Roman" w:hAnsi="Times New Roman"/>
          <w:sz w:val="24"/>
          <w:szCs w:val="24"/>
        </w:rPr>
        <w:t>The TESP is a well thought out and necessary programme for the reform, management, regulation and accreditation of teacher education at pre- as well as in-service levels</w:t>
      </w:r>
      <w:r w:rsidR="00273A8A">
        <w:rPr>
          <w:rFonts w:ascii="Times New Roman" w:hAnsi="Times New Roman"/>
          <w:sz w:val="24"/>
          <w:szCs w:val="24"/>
        </w:rPr>
        <w:t xml:space="preserve"> and places particular emphasis on provision </w:t>
      </w:r>
      <w:r w:rsidR="0050310F">
        <w:rPr>
          <w:rFonts w:ascii="Times New Roman" w:hAnsi="Times New Roman"/>
          <w:sz w:val="24"/>
          <w:szCs w:val="24"/>
        </w:rPr>
        <w:t xml:space="preserve">being </w:t>
      </w:r>
      <w:r w:rsidR="00273A8A">
        <w:rPr>
          <w:rFonts w:ascii="Times New Roman" w:hAnsi="Times New Roman"/>
          <w:sz w:val="24"/>
          <w:szCs w:val="24"/>
        </w:rPr>
        <w:t>made for upgrading the qualifications of the large number of under-qualified teachers</w:t>
      </w:r>
      <w:r w:rsidR="009026BC">
        <w:rPr>
          <w:rFonts w:ascii="Times New Roman" w:hAnsi="Times New Roman"/>
          <w:sz w:val="24"/>
          <w:szCs w:val="24"/>
        </w:rPr>
        <w:t xml:space="preserve"> </w:t>
      </w:r>
      <w:r w:rsidR="008A155F">
        <w:rPr>
          <w:rFonts w:ascii="Times New Roman" w:hAnsi="Times New Roman"/>
          <w:sz w:val="24"/>
          <w:szCs w:val="24"/>
        </w:rPr>
        <w:t xml:space="preserve">(estimated at about 75%) </w:t>
      </w:r>
      <w:r w:rsidR="00273A8A">
        <w:rPr>
          <w:rFonts w:ascii="Times New Roman" w:hAnsi="Times New Roman"/>
          <w:sz w:val="24"/>
          <w:szCs w:val="24"/>
        </w:rPr>
        <w:t xml:space="preserve"> to enable them to meet new requirements for teacher certification in Palest</w:t>
      </w:r>
      <w:r w:rsidR="009026BC">
        <w:rPr>
          <w:rFonts w:ascii="Times New Roman" w:hAnsi="Times New Roman"/>
          <w:sz w:val="24"/>
          <w:szCs w:val="24"/>
        </w:rPr>
        <w:t>ine</w:t>
      </w:r>
      <w:r w:rsidR="00C62FE9">
        <w:rPr>
          <w:rFonts w:ascii="Times New Roman" w:hAnsi="Times New Roman"/>
          <w:sz w:val="24"/>
          <w:szCs w:val="24"/>
        </w:rPr>
        <w:t>.</w:t>
      </w:r>
      <w:r w:rsidR="00273A8A">
        <w:rPr>
          <w:rFonts w:ascii="Times New Roman" w:hAnsi="Times New Roman"/>
          <w:sz w:val="24"/>
          <w:szCs w:val="24"/>
        </w:rPr>
        <w:t xml:space="preserve"> A programme of teacher education capacity building for both in- and pre-service teachers was seen as a prerequisite for the effective implementation of the TESP</w:t>
      </w:r>
      <w:r w:rsidR="009026BC">
        <w:rPr>
          <w:rFonts w:ascii="Times New Roman" w:hAnsi="Times New Roman"/>
          <w:sz w:val="24"/>
          <w:szCs w:val="24"/>
        </w:rPr>
        <w:t xml:space="preserve"> and targets regarding the quality of teaching and learning in the document include at least 60 hours of training for each new teacher per year, 24.7 hours of in-service training per year for 52% of all teaching staff and 20 hours of training per year for supervisors (USAID, 2010).</w:t>
      </w:r>
      <w:r w:rsidR="00273A8A">
        <w:rPr>
          <w:rFonts w:ascii="Times New Roman" w:hAnsi="Times New Roman"/>
          <w:sz w:val="24"/>
          <w:szCs w:val="24"/>
        </w:rPr>
        <w:t xml:space="preserve">  </w:t>
      </w:r>
    </w:p>
    <w:p w:rsidR="00B30272" w:rsidRPr="00994B44" w:rsidRDefault="00273A8A" w:rsidP="00F6793F">
      <w:pPr>
        <w:jc w:val="both"/>
        <w:rPr>
          <w:rFonts w:ascii="Times New Roman" w:hAnsi="Times New Roman"/>
          <w:b/>
          <w:sz w:val="24"/>
          <w:szCs w:val="24"/>
        </w:rPr>
      </w:pPr>
      <w:r w:rsidRPr="00994B44">
        <w:rPr>
          <w:rFonts w:ascii="Times New Roman" w:hAnsi="Times New Roman"/>
          <w:b/>
          <w:sz w:val="24"/>
          <w:szCs w:val="24"/>
        </w:rPr>
        <w:t xml:space="preserve">In service </w:t>
      </w:r>
      <w:r w:rsidR="00B30272" w:rsidRPr="00994B44">
        <w:rPr>
          <w:rFonts w:ascii="Times New Roman" w:hAnsi="Times New Roman"/>
          <w:b/>
          <w:sz w:val="24"/>
          <w:szCs w:val="24"/>
        </w:rPr>
        <w:t>teachers training and Re-training programmes (InSTTR)</w:t>
      </w:r>
    </w:p>
    <w:p w:rsidR="00273A8A" w:rsidRPr="00273A8A" w:rsidRDefault="00273A8A" w:rsidP="00273A8A">
      <w:pPr>
        <w:pStyle w:val="ListParagraph"/>
        <w:numPr>
          <w:ilvl w:val="0"/>
          <w:numId w:val="1"/>
        </w:numPr>
        <w:jc w:val="both"/>
        <w:rPr>
          <w:rFonts w:ascii="Times New Roman" w:hAnsi="Times New Roman"/>
          <w:sz w:val="24"/>
          <w:szCs w:val="24"/>
          <w:lang w:val="en-US"/>
        </w:rPr>
      </w:pPr>
      <w:r>
        <w:rPr>
          <w:rFonts w:ascii="Times New Roman" w:hAnsi="Times New Roman"/>
          <w:b/>
          <w:sz w:val="24"/>
          <w:szCs w:val="24"/>
          <w:lang w:val="en-US"/>
        </w:rPr>
        <w:t>Background</w:t>
      </w:r>
    </w:p>
    <w:p w:rsidR="00C128C4" w:rsidRDefault="00C128C4" w:rsidP="00F6793F">
      <w:pPr>
        <w:jc w:val="both"/>
        <w:rPr>
          <w:rFonts w:ascii="Times New Roman" w:hAnsi="Times New Roman"/>
          <w:sz w:val="24"/>
          <w:szCs w:val="24"/>
          <w:lang w:val="en-US"/>
        </w:rPr>
      </w:pPr>
      <w:r>
        <w:rPr>
          <w:rFonts w:ascii="Times New Roman" w:hAnsi="Times New Roman"/>
          <w:sz w:val="24"/>
          <w:szCs w:val="24"/>
          <w:lang w:val="en-US"/>
        </w:rPr>
        <w:t>Against the background of the TESP’s vision for qualifying and preparing teachers</w:t>
      </w:r>
      <w:r w:rsidR="00D8378C">
        <w:rPr>
          <w:rFonts w:ascii="Times New Roman" w:hAnsi="Times New Roman"/>
          <w:sz w:val="24"/>
          <w:szCs w:val="24"/>
          <w:lang w:val="en-US"/>
        </w:rPr>
        <w:t>,</w:t>
      </w:r>
      <w:r>
        <w:rPr>
          <w:rFonts w:ascii="Times New Roman" w:hAnsi="Times New Roman"/>
          <w:sz w:val="24"/>
          <w:szCs w:val="24"/>
          <w:lang w:val="en-US"/>
        </w:rPr>
        <w:t xml:space="preserve"> 18 Higher Education Institutions in Palestine</w:t>
      </w:r>
      <w:r w:rsidR="00D8378C">
        <w:rPr>
          <w:rFonts w:ascii="Times New Roman" w:hAnsi="Times New Roman"/>
          <w:sz w:val="24"/>
          <w:szCs w:val="24"/>
          <w:lang w:val="en-US"/>
        </w:rPr>
        <w:t xml:space="preserve"> (traditional universities, open education, university colleges as well as community colleges)</w:t>
      </w:r>
      <w:r>
        <w:rPr>
          <w:rFonts w:ascii="Times New Roman" w:hAnsi="Times New Roman"/>
          <w:sz w:val="24"/>
          <w:szCs w:val="24"/>
          <w:lang w:val="en-US"/>
        </w:rPr>
        <w:t xml:space="preserve"> offer pr</w:t>
      </w:r>
      <w:r w:rsidR="00D8378C">
        <w:rPr>
          <w:rFonts w:ascii="Times New Roman" w:hAnsi="Times New Roman"/>
          <w:sz w:val="24"/>
          <w:szCs w:val="24"/>
          <w:lang w:val="en-US"/>
        </w:rPr>
        <w:t>o</w:t>
      </w:r>
      <w:r>
        <w:rPr>
          <w:rFonts w:ascii="Times New Roman" w:hAnsi="Times New Roman"/>
          <w:sz w:val="24"/>
          <w:szCs w:val="24"/>
          <w:lang w:val="en-US"/>
        </w:rPr>
        <w:t>gram</w:t>
      </w:r>
      <w:r w:rsidR="008A155F">
        <w:rPr>
          <w:rFonts w:ascii="Times New Roman" w:hAnsi="Times New Roman"/>
          <w:sz w:val="24"/>
          <w:szCs w:val="24"/>
          <w:lang w:val="en-US"/>
        </w:rPr>
        <w:t>me</w:t>
      </w:r>
      <w:r>
        <w:rPr>
          <w:rFonts w:ascii="Times New Roman" w:hAnsi="Times New Roman"/>
          <w:sz w:val="24"/>
          <w:szCs w:val="24"/>
          <w:lang w:val="en-US"/>
        </w:rPr>
        <w:t xml:space="preserve">s in education and </w:t>
      </w:r>
      <w:r w:rsidR="00D8378C">
        <w:rPr>
          <w:rFonts w:ascii="Times New Roman" w:hAnsi="Times New Roman"/>
          <w:sz w:val="24"/>
          <w:szCs w:val="24"/>
          <w:lang w:val="en-US"/>
        </w:rPr>
        <w:t xml:space="preserve">initial </w:t>
      </w:r>
      <w:r>
        <w:rPr>
          <w:rFonts w:ascii="Times New Roman" w:hAnsi="Times New Roman"/>
          <w:sz w:val="24"/>
          <w:szCs w:val="24"/>
          <w:lang w:val="en-US"/>
        </w:rPr>
        <w:t>teacher qualif</w:t>
      </w:r>
      <w:r w:rsidR="00D8378C">
        <w:rPr>
          <w:rFonts w:ascii="Times New Roman" w:hAnsi="Times New Roman"/>
          <w:sz w:val="24"/>
          <w:szCs w:val="24"/>
          <w:lang w:val="en-US"/>
        </w:rPr>
        <w:t>ications. These program</w:t>
      </w:r>
      <w:r w:rsidR="008A155F">
        <w:rPr>
          <w:rFonts w:ascii="Times New Roman" w:hAnsi="Times New Roman"/>
          <w:sz w:val="24"/>
          <w:szCs w:val="24"/>
          <w:lang w:val="en-US"/>
        </w:rPr>
        <w:t>me</w:t>
      </w:r>
      <w:r w:rsidR="00D8378C">
        <w:rPr>
          <w:rFonts w:ascii="Times New Roman" w:hAnsi="Times New Roman"/>
          <w:sz w:val="24"/>
          <w:szCs w:val="24"/>
          <w:lang w:val="en-US"/>
        </w:rPr>
        <w:t xml:space="preserve">s directly or indirectly support the TESP and prepare students to teach in different </w:t>
      </w:r>
      <w:r w:rsidR="00C62FE9">
        <w:rPr>
          <w:rFonts w:ascii="Times New Roman" w:hAnsi="Times New Roman"/>
          <w:sz w:val="24"/>
          <w:szCs w:val="24"/>
          <w:lang w:val="en-US"/>
        </w:rPr>
        <w:t xml:space="preserve">types of </w:t>
      </w:r>
      <w:r w:rsidR="00D8378C">
        <w:rPr>
          <w:rFonts w:ascii="Times New Roman" w:hAnsi="Times New Roman"/>
          <w:sz w:val="24"/>
          <w:szCs w:val="24"/>
          <w:lang w:val="en-US"/>
        </w:rPr>
        <w:t xml:space="preserve">Palestinian schools. </w:t>
      </w:r>
      <w:r w:rsidR="00B30272" w:rsidRPr="00273A8A">
        <w:rPr>
          <w:rFonts w:ascii="Times New Roman" w:hAnsi="Times New Roman"/>
          <w:sz w:val="24"/>
          <w:szCs w:val="24"/>
          <w:lang w:val="en-US"/>
        </w:rPr>
        <w:t xml:space="preserve">There are three types of schools in Palestine: </w:t>
      </w:r>
      <w:r w:rsidR="008A155F">
        <w:rPr>
          <w:rFonts w:ascii="Times New Roman" w:hAnsi="Times New Roman"/>
          <w:sz w:val="24"/>
          <w:szCs w:val="24"/>
          <w:lang w:val="en-US"/>
        </w:rPr>
        <w:t>p</w:t>
      </w:r>
      <w:r w:rsidR="00B30272" w:rsidRPr="00273A8A">
        <w:rPr>
          <w:rFonts w:ascii="Times New Roman" w:hAnsi="Times New Roman"/>
          <w:sz w:val="24"/>
          <w:szCs w:val="24"/>
          <w:lang w:val="en-US"/>
        </w:rPr>
        <w:t xml:space="preserve">ublic schools which are run by the </w:t>
      </w:r>
      <w:r w:rsidR="00D11E05">
        <w:rPr>
          <w:rFonts w:ascii="Times New Roman" w:hAnsi="Times New Roman"/>
          <w:sz w:val="24"/>
          <w:szCs w:val="24"/>
          <w:lang w:val="en-US"/>
        </w:rPr>
        <w:t>M</w:t>
      </w:r>
      <w:r w:rsidR="00B30272" w:rsidRPr="00273A8A">
        <w:rPr>
          <w:rFonts w:ascii="Times New Roman" w:hAnsi="Times New Roman"/>
          <w:sz w:val="24"/>
          <w:szCs w:val="24"/>
          <w:lang w:val="en-US"/>
        </w:rPr>
        <w:t xml:space="preserve">inistry of </w:t>
      </w:r>
      <w:r w:rsidR="00D11E05">
        <w:rPr>
          <w:rFonts w:ascii="Times New Roman" w:hAnsi="Times New Roman"/>
          <w:sz w:val="24"/>
          <w:szCs w:val="24"/>
          <w:lang w:val="en-US"/>
        </w:rPr>
        <w:t>E</w:t>
      </w:r>
      <w:r w:rsidR="00B30272" w:rsidRPr="00273A8A">
        <w:rPr>
          <w:rFonts w:ascii="Times New Roman" w:hAnsi="Times New Roman"/>
          <w:sz w:val="24"/>
          <w:szCs w:val="24"/>
          <w:lang w:val="en-US"/>
        </w:rPr>
        <w:t xml:space="preserve">ducation, UNRWA schools which are run by UNRWA, and private schools which </w:t>
      </w:r>
      <w:r w:rsidR="00D11E05">
        <w:rPr>
          <w:rFonts w:ascii="Times New Roman" w:hAnsi="Times New Roman"/>
          <w:sz w:val="24"/>
          <w:szCs w:val="24"/>
          <w:lang w:val="en-US"/>
        </w:rPr>
        <w:t xml:space="preserve">are </w:t>
      </w:r>
      <w:r w:rsidR="00B30272" w:rsidRPr="00273A8A">
        <w:rPr>
          <w:rFonts w:ascii="Times New Roman" w:hAnsi="Times New Roman"/>
          <w:sz w:val="24"/>
          <w:szCs w:val="24"/>
          <w:lang w:val="en-US"/>
        </w:rPr>
        <w:t xml:space="preserve">run by some private sectors. </w:t>
      </w:r>
      <w:r w:rsidR="00DD4203">
        <w:rPr>
          <w:rFonts w:ascii="Times New Roman" w:hAnsi="Times New Roman"/>
          <w:sz w:val="24"/>
          <w:szCs w:val="24"/>
          <w:lang w:val="en-US"/>
        </w:rPr>
        <w:t xml:space="preserve">With </w:t>
      </w:r>
      <w:r w:rsidR="00D11E05">
        <w:rPr>
          <w:rFonts w:ascii="Times New Roman" w:hAnsi="Times New Roman"/>
          <w:sz w:val="24"/>
          <w:szCs w:val="24"/>
          <w:lang w:val="en-US"/>
        </w:rPr>
        <w:t xml:space="preserve">specific </w:t>
      </w:r>
      <w:r w:rsidR="00DD4203">
        <w:rPr>
          <w:rFonts w:ascii="Times New Roman" w:hAnsi="Times New Roman"/>
          <w:sz w:val="24"/>
          <w:szCs w:val="24"/>
          <w:lang w:val="en-US"/>
        </w:rPr>
        <w:t>reference to UNR</w:t>
      </w:r>
      <w:r w:rsidR="0050310F">
        <w:rPr>
          <w:rFonts w:ascii="Times New Roman" w:hAnsi="Times New Roman"/>
          <w:sz w:val="24"/>
          <w:szCs w:val="24"/>
          <w:lang w:val="en-US"/>
        </w:rPr>
        <w:t>W</w:t>
      </w:r>
      <w:r w:rsidR="00DD4203">
        <w:rPr>
          <w:rFonts w:ascii="Times New Roman" w:hAnsi="Times New Roman"/>
          <w:sz w:val="24"/>
          <w:szCs w:val="24"/>
          <w:lang w:val="en-US"/>
        </w:rPr>
        <w:t xml:space="preserve">A it needs to be noted that following the 1948 Israeli-Arab conflict </w:t>
      </w:r>
      <w:r w:rsidR="0050310F" w:rsidRPr="00273A8A">
        <w:rPr>
          <w:rFonts w:ascii="Times New Roman" w:hAnsi="Times New Roman"/>
          <w:sz w:val="24"/>
          <w:szCs w:val="24"/>
          <w:lang w:val="en-US"/>
        </w:rPr>
        <w:t>UNRWA</w:t>
      </w:r>
      <w:r w:rsidR="0050310F" w:rsidDel="0050310F">
        <w:rPr>
          <w:rFonts w:ascii="Times New Roman" w:hAnsi="Times New Roman"/>
          <w:sz w:val="24"/>
          <w:szCs w:val="24"/>
          <w:lang w:val="en-US"/>
        </w:rPr>
        <w:t xml:space="preserve"> </w:t>
      </w:r>
      <w:r w:rsidR="00DD4203">
        <w:rPr>
          <w:rFonts w:ascii="Times New Roman" w:hAnsi="Times New Roman"/>
          <w:sz w:val="24"/>
          <w:szCs w:val="24"/>
          <w:lang w:val="en-US"/>
        </w:rPr>
        <w:t xml:space="preserve">(United Nations Relief and Works Agency for Palestine Refugees in the </w:t>
      </w:r>
      <w:r w:rsidR="00DD4203">
        <w:rPr>
          <w:rFonts w:ascii="Times New Roman" w:hAnsi="Times New Roman"/>
          <w:sz w:val="24"/>
          <w:szCs w:val="24"/>
          <w:lang w:val="en-US"/>
        </w:rPr>
        <w:lastRenderedPageBreak/>
        <w:t>Near East) was established by the United Nations to carry out direct relief and work programs for Palestinian refugees.  It is a relief and human development agency providing education</w:t>
      </w:r>
      <w:r w:rsidR="00D11E05">
        <w:rPr>
          <w:rFonts w:ascii="Times New Roman" w:hAnsi="Times New Roman"/>
          <w:sz w:val="24"/>
          <w:szCs w:val="24"/>
          <w:lang w:val="en-US"/>
        </w:rPr>
        <w:t xml:space="preserve"> (including schools and teacher training provision</w:t>
      </w:r>
      <w:r w:rsidR="00D8378C">
        <w:rPr>
          <w:rFonts w:ascii="Times New Roman" w:hAnsi="Times New Roman"/>
          <w:sz w:val="24"/>
          <w:szCs w:val="24"/>
          <w:lang w:val="en-US"/>
        </w:rPr>
        <w:t xml:space="preserve"> in for example the Ramallah Men</w:t>
      </w:r>
      <w:r w:rsidR="0050310F">
        <w:rPr>
          <w:rFonts w:ascii="Times New Roman" w:hAnsi="Times New Roman"/>
          <w:sz w:val="24"/>
          <w:szCs w:val="24"/>
          <w:lang w:val="en-US"/>
        </w:rPr>
        <w:t>’s</w:t>
      </w:r>
      <w:r w:rsidR="00D8378C">
        <w:rPr>
          <w:rFonts w:ascii="Times New Roman" w:hAnsi="Times New Roman"/>
          <w:sz w:val="24"/>
          <w:szCs w:val="24"/>
          <w:lang w:val="en-US"/>
        </w:rPr>
        <w:t xml:space="preserve"> Training Centre</w:t>
      </w:r>
      <w:r w:rsidR="00D11E05">
        <w:rPr>
          <w:rFonts w:ascii="Times New Roman" w:hAnsi="Times New Roman"/>
          <w:sz w:val="24"/>
          <w:szCs w:val="24"/>
          <w:lang w:val="en-US"/>
        </w:rPr>
        <w:t>)</w:t>
      </w:r>
      <w:r w:rsidR="00DD4203">
        <w:rPr>
          <w:rFonts w:ascii="Times New Roman" w:hAnsi="Times New Roman"/>
          <w:sz w:val="24"/>
          <w:szCs w:val="24"/>
          <w:lang w:val="en-US"/>
        </w:rPr>
        <w:t>, healthcare, social services and emergency aid to co</w:t>
      </w:r>
      <w:r w:rsidR="00D11E05">
        <w:rPr>
          <w:rFonts w:ascii="Times New Roman" w:hAnsi="Times New Roman"/>
          <w:sz w:val="24"/>
          <w:szCs w:val="24"/>
          <w:lang w:val="en-US"/>
        </w:rPr>
        <w:t>ver more tha</w:t>
      </w:r>
      <w:r w:rsidR="00DD4203">
        <w:rPr>
          <w:rFonts w:ascii="Times New Roman" w:hAnsi="Times New Roman"/>
          <w:sz w:val="24"/>
          <w:szCs w:val="24"/>
          <w:lang w:val="en-US"/>
        </w:rPr>
        <w:t>n four million refugees</w:t>
      </w:r>
      <w:r w:rsidR="00D11E05">
        <w:rPr>
          <w:rFonts w:ascii="Times New Roman" w:hAnsi="Times New Roman"/>
          <w:sz w:val="24"/>
          <w:szCs w:val="24"/>
          <w:lang w:val="en-US"/>
        </w:rPr>
        <w:t xml:space="preserve"> living in the Gaza strip, the West Bank, Jordan, Lebanon and Syria.  In response to the cumulative effects of the occupation a ‘Schools of Excellence Action Plan’ was devised and implemented in all </w:t>
      </w:r>
      <w:r w:rsidR="0050310F" w:rsidRPr="00273A8A">
        <w:rPr>
          <w:rFonts w:ascii="Times New Roman" w:hAnsi="Times New Roman"/>
          <w:sz w:val="24"/>
          <w:szCs w:val="24"/>
          <w:lang w:val="en-US"/>
        </w:rPr>
        <w:t>UNRWA</w:t>
      </w:r>
      <w:r w:rsidR="0050310F" w:rsidDel="0050310F">
        <w:rPr>
          <w:rFonts w:ascii="Times New Roman" w:hAnsi="Times New Roman"/>
          <w:sz w:val="24"/>
          <w:szCs w:val="24"/>
          <w:lang w:val="en-US"/>
        </w:rPr>
        <w:t xml:space="preserve"> </w:t>
      </w:r>
      <w:r w:rsidR="00D11E05">
        <w:rPr>
          <w:rFonts w:ascii="Times New Roman" w:hAnsi="Times New Roman"/>
          <w:sz w:val="24"/>
          <w:szCs w:val="24"/>
          <w:lang w:val="en-US"/>
        </w:rPr>
        <w:t>schools in 2007/2008 (Altinok, 2010).</w:t>
      </w:r>
    </w:p>
    <w:p w:rsidR="00D8378C" w:rsidRDefault="00F3342C" w:rsidP="00F6793F">
      <w:pPr>
        <w:jc w:val="both"/>
        <w:rPr>
          <w:rFonts w:ascii="Times New Roman" w:hAnsi="Times New Roman"/>
          <w:sz w:val="24"/>
          <w:szCs w:val="24"/>
          <w:lang w:val="en-US"/>
        </w:rPr>
      </w:pPr>
      <w:r>
        <w:rPr>
          <w:rFonts w:ascii="Times New Roman" w:hAnsi="Times New Roman"/>
          <w:sz w:val="24"/>
          <w:szCs w:val="24"/>
          <w:lang w:val="en-US"/>
        </w:rPr>
        <w:t>As mentioned earlier, th</w:t>
      </w:r>
      <w:r w:rsidR="00D8378C">
        <w:rPr>
          <w:rFonts w:ascii="Times New Roman" w:hAnsi="Times New Roman"/>
          <w:sz w:val="24"/>
          <w:szCs w:val="24"/>
          <w:lang w:val="en-US"/>
        </w:rPr>
        <w:t>e development of in-service teacher training program</w:t>
      </w:r>
      <w:r w:rsidR="008A155F">
        <w:rPr>
          <w:rFonts w:ascii="Times New Roman" w:hAnsi="Times New Roman"/>
          <w:sz w:val="24"/>
          <w:szCs w:val="24"/>
          <w:lang w:val="en-US"/>
        </w:rPr>
        <w:t>me</w:t>
      </w:r>
      <w:r w:rsidR="00D8378C">
        <w:rPr>
          <w:rFonts w:ascii="Times New Roman" w:hAnsi="Times New Roman"/>
          <w:sz w:val="24"/>
          <w:szCs w:val="24"/>
          <w:lang w:val="en-US"/>
        </w:rPr>
        <w:t xml:space="preserve">s are also in general based on the TESP’s recommendations that a framework for in-service teacher education programs should be developed and adopted that would </w:t>
      </w:r>
      <w:r w:rsidR="0007794E">
        <w:rPr>
          <w:rFonts w:ascii="Times New Roman" w:hAnsi="Times New Roman"/>
          <w:sz w:val="24"/>
          <w:szCs w:val="24"/>
          <w:lang w:val="en-US"/>
        </w:rPr>
        <w:t xml:space="preserve">facilitate the capacity of the system to support the continued professional development of teachers </w:t>
      </w:r>
      <w:r w:rsidR="00D8378C">
        <w:rPr>
          <w:rFonts w:ascii="Times New Roman" w:hAnsi="Times New Roman"/>
          <w:sz w:val="24"/>
          <w:szCs w:val="24"/>
          <w:lang w:val="en-US"/>
        </w:rPr>
        <w:t xml:space="preserve"> </w:t>
      </w:r>
      <w:r w:rsidR="0007794E">
        <w:rPr>
          <w:rFonts w:ascii="Times New Roman" w:hAnsi="Times New Roman"/>
          <w:sz w:val="24"/>
          <w:szCs w:val="24"/>
          <w:lang w:val="en-US"/>
        </w:rPr>
        <w:t>(Hasweh, 2011).</w:t>
      </w:r>
    </w:p>
    <w:p w:rsidR="00B30272" w:rsidRPr="00273A8A" w:rsidRDefault="00B30272" w:rsidP="00273A8A">
      <w:pPr>
        <w:pStyle w:val="ListParagraph"/>
        <w:numPr>
          <w:ilvl w:val="0"/>
          <w:numId w:val="1"/>
        </w:numPr>
        <w:rPr>
          <w:rFonts w:ascii="Times New Roman" w:hAnsi="Times New Roman"/>
          <w:b/>
          <w:sz w:val="24"/>
          <w:szCs w:val="24"/>
        </w:rPr>
      </w:pPr>
      <w:r w:rsidRPr="00273A8A">
        <w:rPr>
          <w:rFonts w:ascii="Times New Roman" w:hAnsi="Times New Roman"/>
          <w:b/>
          <w:sz w:val="24"/>
          <w:szCs w:val="24"/>
        </w:rPr>
        <w:t>Administration</w:t>
      </w:r>
      <w:r w:rsidR="00F3342C">
        <w:rPr>
          <w:rFonts w:ascii="Times New Roman" w:hAnsi="Times New Roman"/>
          <w:b/>
          <w:sz w:val="24"/>
          <w:szCs w:val="24"/>
        </w:rPr>
        <w:t xml:space="preserve"> and o</w:t>
      </w:r>
      <w:r w:rsidRPr="00273A8A">
        <w:rPr>
          <w:rFonts w:ascii="Times New Roman" w:hAnsi="Times New Roman"/>
          <w:b/>
          <w:sz w:val="24"/>
          <w:szCs w:val="24"/>
        </w:rPr>
        <w:t>rganisation</w:t>
      </w:r>
      <w:r w:rsidR="00D8378C">
        <w:rPr>
          <w:rFonts w:ascii="Times New Roman" w:hAnsi="Times New Roman"/>
          <w:b/>
          <w:sz w:val="24"/>
          <w:szCs w:val="24"/>
        </w:rPr>
        <w:t xml:space="preserve"> of in-service teacher training programs</w:t>
      </w:r>
    </w:p>
    <w:p w:rsidR="00B30272" w:rsidRDefault="00B30272" w:rsidP="0089783A">
      <w:pPr>
        <w:pStyle w:val="ListParagraph"/>
        <w:ind w:left="0"/>
        <w:jc w:val="both"/>
        <w:rPr>
          <w:rFonts w:ascii="Times New Roman" w:hAnsi="Times New Roman"/>
          <w:sz w:val="24"/>
          <w:szCs w:val="24"/>
          <w:lang w:val="en-US"/>
        </w:rPr>
      </w:pPr>
      <w:r w:rsidRPr="0089783A">
        <w:rPr>
          <w:rFonts w:ascii="Times New Roman" w:hAnsi="Times New Roman"/>
          <w:sz w:val="24"/>
          <w:szCs w:val="24"/>
        </w:rPr>
        <w:t xml:space="preserve">InSTTR in Palestine is provided by many agents, not all of </w:t>
      </w:r>
      <w:r w:rsidR="004568D8">
        <w:rPr>
          <w:rFonts w:ascii="Times New Roman" w:hAnsi="Times New Roman"/>
          <w:sz w:val="24"/>
          <w:szCs w:val="24"/>
        </w:rPr>
        <w:t>whom are</w:t>
      </w:r>
      <w:r w:rsidRPr="0089783A">
        <w:rPr>
          <w:rFonts w:ascii="Times New Roman" w:hAnsi="Times New Roman"/>
          <w:sz w:val="24"/>
          <w:szCs w:val="24"/>
        </w:rPr>
        <w:t xml:space="preserve"> centrally co-</w:t>
      </w:r>
      <w:r w:rsidR="00674AEE">
        <w:rPr>
          <w:rFonts w:ascii="Times New Roman" w:hAnsi="Times New Roman"/>
          <w:sz w:val="24"/>
          <w:szCs w:val="24"/>
        </w:rPr>
        <w:t>o</w:t>
      </w:r>
      <w:r w:rsidRPr="0089783A">
        <w:rPr>
          <w:rFonts w:ascii="Times New Roman" w:hAnsi="Times New Roman"/>
          <w:sz w:val="24"/>
          <w:szCs w:val="24"/>
        </w:rPr>
        <w:t>rdinated</w:t>
      </w:r>
      <w:r w:rsidR="00674AEE">
        <w:rPr>
          <w:rFonts w:ascii="Times New Roman" w:hAnsi="Times New Roman"/>
          <w:sz w:val="24"/>
          <w:szCs w:val="24"/>
        </w:rPr>
        <w:t xml:space="preserve"> by the Ministry of Education</w:t>
      </w:r>
      <w:r w:rsidR="008A155F">
        <w:rPr>
          <w:rFonts w:ascii="Times New Roman" w:hAnsi="Times New Roman"/>
          <w:sz w:val="24"/>
          <w:szCs w:val="24"/>
        </w:rPr>
        <w:t>. The divisions of the MO</w:t>
      </w:r>
      <w:r w:rsidRPr="0089783A">
        <w:rPr>
          <w:rFonts w:ascii="Times New Roman" w:hAnsi="Times New Roman"/>
          <w:sz w:val="24"/>
          <w:szCs w:val="24"/>
        </w:rPr>
        <w:t xml:space="preserve">EHE at both District and </w:t>
      </w:r>
      <w:r w:rsidR="005A3EAB">
        <w:rPr>
          <w:rFonts w:ascii="Times New Roman" w:hAnsi="Times New Roman"/>
          <w:sz w:val="24"/>
          <w:szCs w:val="24"/>
        </w:rPr>
        <w:t>Ministry</w:t>
      </w:r>
      <w:r w:rsidRPr="0089783A">
        <w:rPr>
          <w:rFonts w:ascii="Times New Roman" w:hAnsi="Times New Roman"/>
          <w:sz w:val="24"/>
          <w:szCs w:val="24"/>
        </w:rPr>
        <w:t xml:space="preserve"> level</w:t>
      </w:r>
      <w:r w:rsidR="005A3EAB">
        <w:rPr>
          <w:rFonts w:ascii="Times New Roman" w:hAnsi="Times New Roman"/>
          <w:sz w:val="24"/>
          <w:szCs w:val="24"/>
        </w:rPr>
        <w:t>s</w:t>
      </w:r>
      <w:r w:rsidRPr="0089783A">
        <w:rPr>
          <w:rFonts w:ascii="Times New Roman" w:hAnsi="Times New Roman"/>
          <w:sz w:val="24"/>
          <w:szCs w:val="24"/>
        </w:rPr>
        <w:t xml:space="preserve"> offer training to new and more experienced teachers in Government schools. </w:t>
      </w:r>
      <w:r w:rsidRPr="0089783A">
        <w:rPr>
          <w:rFonts w:ascii="Times New Roman" w:hAnsi="Times New Roman"/>
          <w:sz w:val="24"/>
          <w:szCs w:val="24"/>
          <w:lang w:val="en-US"/>
        </w:rPr>
        <w:t>The National Institute for Education Training</w:t>
      </w:r>
      <w:r w:rsidR="00D11E05">
        <w:rPr>
          <w:rFonts w:ascii="Times New Roman" w:hAnsi="Times New Roman"/>
          <w:sz w:val="24"/>
          <w:szCs w:val="24"/>
          <w:lang w:val="en-US"/>
        </w:rPr>
        <w:t xml:space="preserve"> (NIET)</w:t>
      </w:r>
      <w:r w:rsidRPr="0089783A">
        <w:rPr>
          <w:rFonts w:ascii="Times New Roman" w:hAnsi="Times New Roman"/>
          <w:sz w:val="24"/>
          <w:szCs w:val="24"/>
          <w:lang w:val="en-US"/>
        </w:rPr>
        <w:t>, also a di</w:t>
      </w:r>
      <w:r w:rsidR="008A155F">
        <w:rPr>
          <w:rFonts w:ascii="Times New Roman" w:hAnsi="Times New Roman"/>
          <w:sz w:val="24"/>
          <w:szCs w:val="24"/>
          <w:lang w:val="en-US"/>
        </w:rPr>
        <w:t>vision of the MOE</w:t>
      </w:r>
      <w:r w:rsidRPr="0089783A">
        <w:rPr>
          <w:rFonts w:ascii="Times New Roman" w:hAnsi="Times New Roman"/>
          <w:sz w:val="24"/>
          <w:szCs w:val="24"/>
          <w:lang w:val="en-US"/>
        </w:rPr>
        <w:t>HE</w:t>
      </w:r>
      <w:r w:rsidR="004568D8">
        <w:rPr>
          <w:rFonts w:ascii="Times New Roman" w:hAnsi="Times New Roman"/>
          <w:sz w:val="24"/>
          <w:szCs w:val="24"/>
          <w:lang w:val="en-US"/>
        </w:rPr>
        <w:t>,</w:t>
      </w:r>
      <w:r w:rsidRPr="0089783A">
        <w:rPr>
          <w:rFonts w:ascii="Times New Roman" w:hAnsi="Times New Roman"/>
          <w:sz w:val="24"/>
          <w:szCs w:val="24"/>
          <w:lang w:val="en-US"/>
        </w:rPr>
        <w:t xml:space="preserve"> is also tasked with providing in-service and professional training, although there remains some ambiguity between the responsibilities of NIET and </w:t>
      </w:r>
      <w:r w:rsidR="004568D8">
        <w:rPr>
          <w:rFonts w:ascii="Times New Roman" w:hAnsi="Times New Roman"/>
          <w:sz w:val="24"/>
          <w:szCs w:val="24"/>
          <w:lang w:val="en-US"/>
        </w:rPr>
        <w:t>the Directorate of Supervision and Qualifications (</w:t>
      </w:r>
      <w:r w:rsidRPr="0089783A">
        <w:rPr>
          <w:rFonts w:ascii="Times New Roman" w:hAnsi="Times New Roman"/>
          <w:sz w:val="24"/>
          <w:szCs w:val="24"/>
          <w:lang w:val="en-US"/>
        </w:rPr>
        <w:t>DSQ</w:t>
      </w:r>
      <w:r w:rsidR="004568D8">
        <w:rPr>
          <w:rFonts w:ascii="Times New Roman" w:hAnsi="Times New Roman"/>
          <w:sz w:val="24"/>
          <w:szCs w:val="24"/>
          <w:lang w:val="en-US"/>
        </w:rPr>
        <w:t>)</w:t>
      </w:r>
      <w:r w:rsidRPr="0089783A">
        <w:rPr>
          <w:rFonts w:ascii="Times New Roman" w:hAnsi="Times New Roman"/>
          <w:sz w:val="24"/>
          <w:szCs w:val="24"/>
          <w:lang w:val="en-US"/>
        </w:rPr>
        <w:t xml:space="preserve"> in relation to InSTTR which are not fully resolved.  NIET </w:t>
      </w:r>
      <w:r w:rsidR="00815811">
        <w:rPr>
          <w:rFonts w:ascii="Times New Roman" w:hAnsi="Times New Roman"/>
          <w:sz w:val="24"/>
          <w:szCs w:val="24"/>
          <w:lang w:val="en-US"/>
        </w:rPr>
        <w:t>was originally est</w:t>
      </w:r>
      <w:r w:rsidR="005A3EAB">
        <w:rPr>
          <w:rFonts w:ascii="Times New Roman" w:hAnsi="Times New Roman"/>
          <w:sz w:val="24"/>
          <w:szCs w:val="24"/>
          <w:lang w:val="en-US"/>
        </w:rPr>
        <w:t>ablis</w:t>
      </w:r>
      <w:r w:rsidR="00815811">
        <w:rPr>
          <w:rFonts w:ascii="Times New Roman" w:hAnsi="Times New Roman"/>
          <w:sz w:val="24"/>
          <w:szCs w:val="24"/>
          <w:lang w:val="en-US"/>
        </w:rPr>
        <w:t>h</w:t>
      </w:r>
      <w:r w:rsidR="005A3EAB">
        <w:rPr>
          <w:rFonts w:ascii="Times New Roman" w:hAnsi="Times New Roman"/>
          <w:sz w:val="24"/>
          <w:szCs w:val="24"/>
          <w:lang w:val="en-US"/>
        </w:rPr>
        <w:t>e</w:t>
      </w:r>
      <w:r w:rsidR="00815811">
        <w:rPr>
          <w:rFonts w:ascii="Times New Roman" w:hAnsi="Times New Roman"/>
          <w:sz w:val="24"/>
          <w:szCs w:val="24"/>
          <w:lang w:val="en-US"/>
        </w:rPr>
        <w:t>d as an institute to p</w:t>
      </w:r>
      <w:r w:rsidR="005A3EAB">
        <w:rPr>
          <w:rFonts w:ascii="Times New Roman" w:hAnsi="Times New Roman"/>
          <w:sz w:val="24"/>
          <w:szCs w:val="24"/>
          <w:lang w:val="en-US"/>
        </w:rPr>
        <w:t>r</w:t>
      </w:r>
      <w:r w:rsidR="00815811">
        <w:rPr>
          <w:rFonts w:ascii="Times New Roman" w:hAnsi="Times New Roman"/>
          <w:sz w:val="24"/>
          <w:szCs w:val="24"/>
          <w:lang w:val="en-US"/>
        </w:rPr>
        <w:t>ov</w:t>
      </w:r>
      <w:r w:rsidR="005A3EAB">
        <w:rPr>
          <w:rFonts w:ascii="Times New Roman" w:hAnsi="Times New Roman"/>
          <w:sz w:val="24"/>
          <w:szCs w:val="24"/>
          <w:lang w:val="en-US"/>
        </w:rPr>
        <w:t>i</w:t>
      </w:r>
      <w:r w:rsidR="00815811">
        <w:rPr>
          <w:rFonts w:ascii="Times New Roman" w:hAnsi="Times New Roman"/>
          <w:sz w:val="24"/>
          <w:szCs w:val="24"/>
          <w:lang w:val="en-US"/>
        </w:rPr>
        <w:t>de training to managers and administrators in the MOEHE</w:t>
      </w:r>
      <w:r w:rsidR="005A3EAB">
        <w:rPr>
          <w:rFonts w:ascii="Times New Roman" w:hAnsi="Times New Roman"/>
          <w:sz w:val="24"/>
          <w:szCs w:val="24"/>
          <w:lang w:val="en-US"/>
        </w:rPr>
        <w:t xml:space="preserve"> but has recently been asked to move towards becoming an entity that plans, provides and oversees in-service teacher training programmes.  It </w:t>
      </w:r>
      <w:r w:rsidRPr="0089783A">
        <w:rPr>
          <w:rFonts w:ascii="Times New Roman" w:hAnsi="Times New Roman"/>
          <w:sz w:val="24"/>
          <w:szCs w:val="24"/>
          <w:lang w:val="en-US"/>
        </w:rPr>
        <w:t xml:space="preserve">has developed a database to register all training provided by the MoEHE since 2004. </w:t>
      </w:r>
    </w:p>
    <w:p w:rsidR="00C62FE9" w:rsidRDefault="00C62FE9" w:rsidP="0089783A">
      <w:pPr>
        <w:pStyle w:val="ListParagraph"/>
        <w:ind w:left="0"/>
        <w:jc w:val="both"/>
        <w:rPr>
          <w:rFonts w:ascii="Times New Roman" w:eastAsia="Times New Roman" w:hAnsi="Times New Roman"/>
          <w:sz w:val="24"/>
          <w:szCs w:val="24"/>
          <w:lang w:eastAsia="el-GR"/>
        </w:rPr>
      </w:pPr>
    </w:p>
    <w:p w:rsidR="00B30272" w:rsidRPr="0089783A" w:rsidRDefault="00B30272" w:rsidP="00F3342C">
      <w:pPr>
        <w:pStyle w:val="ListParagraph"/>
        <w:ind w:left="0"/>
        <w:jc w:val="both"/>
        <w:rPr>
          <w:rFonts w:ascii="Times New Roman" w:hAnsi="Times New Roman"/>
          <w:sz w:val="24"/>
          <w:szCs w:val="24"/>
        </w:rPr>
      </w:pPr>
      <w:r w:rsidRPr="0089783A">
        <w:rPr>
          <w:rFonts w:ascii="Times New Roman" w:hAnsi="Times New Roman"/>
          <w:sz w:val="24"/>
          <w:szCs w:val="24"/>
          <w:lang w:val="en-US"/>
        </w:rPr>
        <w:t xml:space="preserve">The Higher Education institutions in the West Bank and Gaza also offer in-service training programmes and courses, some of which are aimed at teacher qualification, due to the large numbers of unqualified teachers currently in service in the West Bank and Gaza. </w:t>
      </w:r>
      <w:r w:rsidRPr="0089783A">
        <w:rPr>
          <w:rFonts w:ascii="Times New Roman" w:hAnsi="Times New Roman"/>
          <w:sz w:val="24"/>
          <w:szCs w:val="24"/>
        </w:rPr>
        <w:t>There are also private schools, NGOs and private training organisations offering training in various educational areas. The NGOs work collaboratively with the MOEHE, offering in-service courses in areas such as civi</w:t>
      </w:r>
      <w:r w:rsidR="00C62FE9">
        <w:rPr>
          <w:rFonts w:ascii="Times New Roman" w:hAnsi="Times New Roman"/>
          <w:sz w:val="24"/>
          <w:szCs w:val="24"/>
        </w:rPr>
        <w:t>cs education and human rights (e.g. t</w:t>
      </w:r>
      <w:r w:rsidRPr="0089783A">
        <w:rPr>
          <w:rFonts w:ascii="Times New Roman" w:hAnsi="Times New Roman"/>
          <w:sz w:val="24"/>
          <w:szCs w:val="24"/>
        </w:rPr>
        <w:t xml:space="preserve">he Teacher Creativity </w:t>
      </w:r>
      <w:r w:rsidR="002C19B1" w:rsidRPr="0089783A">
        <w:rPr>
          <w:rFonts w:ascii="Times New Roman" w:hAnsi="Times New Roman"/>
          <w:sz w:val="24"/>
          <w:szCs w:val="24"/>
        </w:rPr>
        <w:t>Centre</w:t>
      </w:r>
      <w:r w:rsidR="00C62FE9">
        <w:rPr>
          <w:rFonts w:ascii="Times New Roman" w:hAnsi="Times New Roman"/>
          <w:sz w:val="24"/>
          <w:szCs w:val="24"/>
        </w:rPr>
        <w:t>)</w:t>
      </w:r>
      <w:r w:rsidRPr="0089783A">
        <w:rPr>
          <w:rFonts w:ascii="Times New Roman" w:hAnsi="Times New Roman"/>
          <w:sz w:val="24"/>
          <w:szCs w:val="24"/>
        </w:rPr>
        <w:t>and early childhood education (</w:t>
      </w:r>
      <w:r w:rsidR="00C62FE9">
        <w:rPr>
          <w:rFonts w:ascii="Times New Roman" w:hAnsi="Times New Roman"/>
          <w:sz w:val="24"/>
          <w:szCs w:val="24"/>
        </w:rPr>
        <w:t>e.g. t</w:t>
      </w:r>
      <w:r w:rsidRPr="0089783A">
        <w:rPr>
          <w:rFonts w:ascii="Times New Roman" w:hAnsi="Times New Roman"/>
          <w:sz w:val="24"/>
          <w:szCs w:val="24"/>
        </w:rPr>
        <w:t xml:space="preserve">he Early Childhood Resource Centre). The </w:t>
      </w:r>
      <w:r w:rsidR="004568D8">
        <w:rPr>
          <w:rFonts w:ascii="Times New Roman" w:hAnsi="Times New Roman"/>
          <w:sz w:val="24"/>
          <w:szCs w:val="24"/>
        </w:rPr>
        <w:t>UNRWA</w:t>
      </w:r>
      <w:r w:rsidR="004568D8" w:rsidRPr="0089783A">
        <w:rPr>
          <w:rFonts w:ascii="Times New Roman" w:hAnsi="Times New Roman"/>
          <w:sz w:val="24"/>
          <w:szCs w:val="24"/>
        </w:rPr>
        <w:t xml:space="preserve"> </w:t>
      </w:r>
      <w:r w:rsidRPr="0089783A">
        <w:rPr>
          <w:rFonts w:ascii="Times New Roman" w:hAnsi="Times New Roman"/>
          <w:sz w:val="24"/>
          <w:szCs w:val="24"/>
        </w:rPr>
        <w:t xml:space="preserve">organisation </w:t>
      </w:r>
      <w:r w:rsidR="00F3342C">
        <w:rPr>
          <w:rFonts w:ascii="Times New Roman" w:hAnsi="Times New Roman"/>
          <w:sz w:val="24"/>
          <w:szCs w:val="24"/>
        </w:rPr>
        <w:t xml:space="preserve">also </w:t>
      </w:r>
      <w:r w:rsidRPr="0089783A">
        <w:rPr>
          <w:rFonts w:ascii="Times New Roman" w:hAnsi="Times New Roman"/>
          <w:sz w:val="24"/>
          <w:szCs w:val="24"/>
        </w:rPr>
        <w:t xml:space="preserve">provides training for teachers and school principals within the </w:t>
      </w:r>
      <w:r w:rsidR="004568D8">
        <w:rPr>
          <w:rFonts w:ascii="Times New Roman" w:hAnsi="Times New Roman"/>
          <w:sz w:val="24"/>
          <w:szCs w:val="24"/>
        </w:rPr>
        <w:t>UNRWA</w:t>
      </w:r>
      <w:r w:rsidR="004568D8" w:rsidRPr="0089783A">
        <w:rPr>
          <w:rFonts w:ascii="Times New Roman" w:hAnsi="Times New Roman"/>
          <w:sz w:val="24"/>
          <w:szCs w:val="24"/>
        </w:rPr>
        <w:t xml:space="preserve"> </w:t>
      </w:r>
      <w:r w:rsidRPr="0089783A">
        <w:rPr>
          <w:rFonts w:ascii="Times New Roman" w:hAnsi="Times New Roman"/>
          <w:sz w:val="24"/>
          <w:szCs w:val="24"/>
        </w:rPr>
        <w:t xml:space="preserve">school network. </w:t>
      </w:r>
    </w:p>
    <w:p w:rsidR="00B30272" w:rsidRPr="0089783A" w:rsidRDefault="00B30272" w:rsidP="006B724A">
      <w:pPr>
        <w:jc w:val="both"/>
        <w:rPr>
          <w:rFonts w:ascii="Times New Roman" w:hAnsi="Times New Roman"/>
          <w:sz w:val="24"/>
          <w:szCs w:val="24"/>
        </w:rPr>
      </w:pPr>
      <w:r w:rsidRPr="0089783A">
        <w:rPr>
          <w:rFonts w:ascii="Times New Roman" w:hAnsi="Times New Roman"/>
          <w:sz w:val="24"/>
          <w:szCs w:val="24"/>
        </w:rPr>
        <w:t xml:space="preserve">Additionally, </w:t>
      </w:r>
      <w:r w:rsidR="00E80379">
        <w:rPr>
          <w:rFonts w:ascii="Times New Roman" w:hAnsi="Times New Roman"/>
          <w:sz w:val="24"/>
          <w:szCs w:val="24"/>
        </w:rPr>
        <w:t>the donor community is extremely active in the education sector at varying levels of the system.  T</w:t>
      </w:r>
      <w:r w:rsidRPr="0089783A">
        <w:rPr>
          <w:rFonts w:ascii="Times New Roman" w:hAnsi="Times New Roman"/>
          <w:sz w:val="24"/>
          <w:szCs w:val="24"/>
        </w:rPr>
        <w:t>rans-national organisations such as UNESCO, USAID and the World Bank and individual countries such as Germany, Spain, the UK</w:t>
      </w:r>
      <w:r w:rsidR="00E80379">
        <w:rPr>
          <w:rFonts w:ascii="Times New Roman" w:hAnsi="Times New Roman"/>
          <w:sz w:val="24"/>
          <w:szCs w:val="24"/>
        </w:rPr>
        <w:t>,</w:t>
      </w:r>
      <w:r w:rsidRPr="0089783A">
        <w:rPr>
          <w:rFonts w:ascii="Times New Roman" w:hAnsi="Times New Roman"/>
          <w:sz w:val="24"/>
          <w:szCs w:val="24"/>
        </w:rPr>
        <w:t xml:space="preserve"> Norway </w:t>
      </w:r>
      <w:r w:rsidR="00E80379">
        <w:rPr>
          <w:rFonts w:ascii="Times New Roman" w:hAnsi="Times New Roman"/>
          <w:sz w:val="24"/>
          <w:szCs w:val="24"/>
        </w:rPr>
        <w:t xml:space="preserve">and Finland </w:t>
      </w:r>
      <w:r w:rsidRPr="0089783A">
        <w:rPr>
          <w:rFonts w:ascii="Times New Roman" w:hAnsi="Times New Roman"/>
          <w:sz w:val="24"/>
          <w:szCs w:val="24"/>
        </w:rPr>
        <w:t>also provide both financial aid and training programmes. These are largely administered via the M</w:t>
      </w:r>
      <w:r w:rsidR="008A155F">
        <w:rPr>
          <w:rFonts w:ascii="Times New Roman" w:hAnsi="Times New Roman"/>
          <w:sz w:val="24"/>
          <w:szCs w:val="24"/>
        </w:rPr>
        <w:t>O</w:t>
      </w:r>
      <w:r w:rsidRPr="0089783A">
        <w:rPr>
          <w:rFonts w:ascii="Times New Roman" w:hAnsi="Times New Roman"/>
          <w:sz w:val="24"/>
          <w:szCs w:val="24"/>
        </w:rPr>
        <w:t>EHE, but are not necessarily available to all schools or teachers within the West Bank and Gaza. This is partly due to the difficulties of travel and communication within Palestine as a whole, but also to the constraints of financial, technical and human capacity</w:t>
      </w:r>
      <w:r w:rsidR="00E80379">
        <w:rPr>
          <w:rFonts w:ascii="Times New Roman" w:hAnsi="Times New Roman"/>
          <w:sz w:val="24"/>
          <w:szCs w:val="24"/>
        </w:rPr>
        <w:t xml:space="preserve"> (USAID, 2010).</w:t>
      </w:r>
    </w:p>
    <w:p w:rsidR="00B30272" w:rsidRDefault="00B30272" w:rsidP="00273A8A">
      <w:pPr>
        <w:pStyle w:val="ListParagraph"/>
        <w:numPr>
          <w:ilvl w:val="0"/>
          <w:numId w:val="1"/>
        </w:numPr>
        <w:jc w:val="both"/>
        <w:rPr>
          <w:rFonts w:ascii="Times New Roman" w:hAnsi="Times New Roman"/>
          <w:b/>
          <w:sz w:val="24"/>
          <w:szCs w:val="24"/>
        </w:rPr>
      </w:pPr>
      <w:r w:rsidRPr="00273A8A">
        <w:rPr>
          <w:rFonts w:ascii="Times New Roman" w:hAnsi="Times New Roman"/>
          <w:b/>
          <w:sz w:val="24"/>
          <w:szCs w:val="24"/>
        </w:rPr>
        <w:lastRenderedPageBreak/>
        <w:t xml:space="preserve">Details </w:t>
      </w:r>
      <w:r w:rsidR="004A3793">
        <w:rPr>
          <w:rFonts w:ascii="Times New Roman" w:hAnsi="Times New Roman"/>
          <w:b/>
          <w:sz w:val="24"/>
          <w:szCs w:val="24"/>
        </w:rPr>
        <w:t xml:space="preserve">and examples </w:t>
      </w:r>
      <w:r w:rsidRPr="00273A8A">
        <w:rPr>
          <w:rFonts w:ascii="Times New Roman" w:hAnsi="Times New Roman"/>
          <w:b/>
          <w:sz w:val="24"/>
          <w:szCs w:val="24"/>
        </w:rPr>
        <w:t xml:space="preserve">of </w:t>
      </w:r>
      <w:r w:rsidR="004A3793">
        <w:rPr>
          <w:rFonts w:ascii="Times New Roman" w:hAnsi="Times New Roman"/>
          <w:b/>
          <w:sz w:val="24"/>
          <w:szCs w:val="24"/>
        </w:rPr>
        <w:t xml:space="preserve">in-service </w:t>
      </w:r>
      <w:r w:rsidR="00B77495">
        <w:rPr>
          <w:rFonts w:ascii="Times New Roman" w:hAnsi="Times New Roman"/>
          <w:b/>
          <w:sz w:val="24"/>
          <w:szCs w:val="24"/>
        </w:rPr>
        <w:t>tra</w:t>
      </w:r>
      <w:r w:rsidR="004A3793">
        <w:rPr>
          <w:rFonts w:ascii="Times New Roman" w:hAnsi="Times New Roman"/>
          <w:b/>
          <w:sz w:val="24"/>
          <w:szCs w:val="24"/>
        </w:rPr>
        <w:t>in</w:t>
      </w:r>
      <w:r w:rsidR="00B77495">
        <w:rPr>
          <w:rFonts w:ascii="Times New Roman" w:hAnsi="Times New Roman"/>
          <w:b/>
          <w:sz w:val="24"/>
          <w:szCs w:val="24"/>
        </w:rPr>
        <w:t>ing</w:t>
      </w:r>
      <w:r w:rsidR="004A3793">
        <w:rPr>
          <w:rFonts w:ascii="Times New Roman" w:hAnsi="Times New Roman"/>
          <w:b/>
          <w:sz w:val="24"/>
          <w:szCs w:val="24"/>
        </w:rPr>
        <w:t xml:space="preserve"> programmes</w:t>
      </w:r>
      <w:r w:rsidR="00B77495">
        <w:rPr>
          <w:rFonts w:ascii="Times New Roman" w:hAnsi="Times New Roman"/>
          <w:b/>
          <w:sz w:val="24"/>
          <w:szCs w:val="24"/>
        </w:rPr>
        <w:t xml:space="preserve"> </w:t>
      </w:r>
      <w:r w:rsidR="00116779">
        <w:rPr>
          <w:rFonts w:ascii="Times New Roman" w:hAnsi="Times New Roman"/>
          <w:b/>
          <w:sz w:val="24"/>
          <w:szCs w:val="24"/>
        </w:rPr>
        <w:t>coordinated by the Ministry of Education and Higher Education</w:t>
      </w:r>
    </w:p>
    <w:p w:rsidR="00E80379" w:rsidRPr="00A03D0C" w:rsidRDefault="00E80379" w:rsidP="00A03D0C">
      <w:pPr>
        <w:jc w:val="both"/>
        <w:rPr>
          <w:rFonts w:ascii="Times New Roman" w:hAnsi="Times New Roman"/>
          <w:i/>
          <w:sz w:val="24"/>
          <w:szCs w:val="24"/>
        </w:rPr>
      </w:pPr>
      <w:r>
        <w:rPr>
          <w:rFonts w:ascii="Times New Roman" w:hAnsi="Times New Roman"/>
          <w:i/>
          <w:sz w:val="24"/>
          <w:szCs w:val="24"/>
        </w:rPr>
        <w:t>Examples of programmes presented by the Ministry of Educ</w:t>
      </w:r>
      <w:r w:rsidR="00A03D0C">
        <w:rPr>
          <w:rFonts w:ascii="Times New Roman" w:hAnsi="Times New Roman"/>
          <w:i/>
          <w:sz w:val="24"/>
          <w:szCs w:val="24"/>
        </w:rPr>
        <w:t>a</w:t>
      </w:r>
      <w:r>
        <w:rPr>
          <w:rFonts w:ascii="Times New Roman" w:hAnsi="Times New Roman"/>
          <w:i/>
          <w:sz w:val="24"/>
          <w:szCs w:val="24"/>
        </w:rPr>
        <w:t>tion and Higher Education (MOEHE)</w:t>
      </w:r>
    </w:p>
    <w:p w:rsidR="00B30272" w:rsidRPr="00CE77B2" w:rsidRDefault="00B30272" w:rsidP="00CE77B2">
      <w:pPr>
        <w:jc w:val="both"/>
        <w:rPr>
          <w:rFonts w:ascii="Times New Roman" w:hAnsi="Times New Roman"/>
          <w:sz w:val="24"/>
          <w:szCs w:val="24"/>
        </w:rPr>
      </w:pPr>
      <w:r w:rsidRPr="00CE77B2">
        <w:rPr>
          <w:rFonts w:ascii="Times New Roman" w:hAnsi="Times New Roman"/>
          <w:sz w:val="24"/>
          <w:szCs w:val="24"/>
        </w:rPr>
        <w:t>The MoEHE provides INSTTR training at three levels.</w:t>
      </w:r>
      <w:r w:rsidR="00EA6D13">
        <w:rPr>
          <w:rFonts w:ascii="Times New Roman" w:hAnsi="Times New Roman"/>
          <w:sz w:val="24"/>
          <w:szCs w:val="24"/>
        </w:rPr>
        <w:t xml:space="preserve"> </w:t>
      </w:r>
      <w:r w:rsidRPr="00CE77B2">
        <w:rPr>
          <w:rFonts w:ascii="Times New Roman" w:hAnsi="Times New Roman"/>
          <w:sz w:val="24"/>
          <w:szCs w:val="24"/>
        </w:rPr>
        <w:t xml:space="preserve">The first level comprises </w:t>
      </w:r>
      <w:r w:rsidRPr="00CE77B2">
        <w:rPr>
          <w:rFonts w:ascii="Times New Roman" w:hAnsi="Times New Roman"/>
          <w:sz w:val="24"/>
          <w:szCs w:val="24"/>
          <w:lang w:val="en-US"/>
        </w:rPr>
        <w:t xml:space="preserve">compulsory or obligatory training workshops in which in-service teachers are trained on school curriculum (content, teaching methods, and evaluation). The main audiences for these workshops are new teachers. In ‘developmental training workshops’ in-service teachers are trained on how to deal with </w:t>
      </w:r>
      <w:r w:rsidR="00D2281A">
        <w:rPr>
          <w:rFonts w:ascii="Times New Roman" w:hAnsi="Times New Roman"/>
          <w:sz w:val="24"/>
          <w:szCs w:val="24"/>
          <w:lang w:val="en-US"/>
        </w:rPr>
        <w:t xml:space="preserve">the </w:t>
      </w:r>
      <w:r w:rsidR="001D05F8">
        <w:rPr>
          <w:rFonts w:ascii="Times New Roman" w:hAnsi="Times New Roman"/>
          <w:sz w:val="24"/>
          <w:szCs w:val="24"/>
          <w:lang w:val="en-US"/>
        </w:rPr>
        <w:t xml:space="preserve">learning problems of their students </w:t>
      </w:r>
      <w:r w:rsidR="00D2281A">
        <w:rPr>
          <w:rFonts w:ascii="Times New Roman" w:hAnsi="Times New Roman"/>
          <w:sz w:val="24"/>
          <w:szCs w:val="24"/>
          <w:lang w:val="en-US"/>
        </w:rPr>
        <w:t xml:space="preserve">(clinical and supportive teaching) </w:t>
      </w:r>
      <w:r w:rsidR="001D05F8">
        <w:rPr>
          <w:rFonts w:ascii="Times New Roman" w:hAnsi="Times New Roman"/>
          <w:sz w:val="24"/>
          <w:szCs w:val="24"/>
          <w:lang w:val="en-US"/>
        </w:rPr>
        <w:t xml:space="preserve">as well as </w:t>
      </w:r>
      <w:r w:rsidR="00E80379">
        <w:rPr>
          <w:rFonts w:ascii="Times New Roman" w:hAnsi="Times New Roman"/>
          <w:sz w:val="24"/>
          <w:szCs w:val="24"/>
          <w:lang w:val="en-US"/>
        </w:rPr>
        <w:t xml:space="preserve"> the </w:t>
      </w:r>
      <w:r w:rsidR="001D05F8">
        <w:rPr>
          <w:rFonts w:ascii="Times New Roman" w:hAnsi="Times New Roman"/>
          <w:sz w:val="24"/>
          <w:szCs w:val="24"/>
          <w:lang w:val="en-US"/>
        </w:rPr>
        <w:t xml:space="preserve">innovative </w:t>
      </w:r>
      <w:r w:rsidR="00E80379">
        <w:rPr>
          <w:rFonts w:ascii="Times New Roman" w:hAnsi="Times New Roman"/>
          <w:sz w:val="24"/>
          <w:szCs w:val="24"/>
          <w:lang w:val="en-US"/>
        </w:rPr>
        <w:t xml:space="preserve">implementation of the curriculum in their classrooms </w:t>
      </w:r>
      <w:r w:rsidR="001D05F8">
        <w:rPr>
          <w:rFonts w:ascii="Times New Roman" w:hAnsi="Times New Roman"/>
          <w:sz w:val="24"/>
          <w:szCs w:val="24"/>
          <w:lang w:val="en-US"/>
        </w:rPr>
        <w:t>in order to enhance their pedagogical skills and pedagogical content knowledge</w:t>
      </w:r>
      <w:r w:rsidRPr="00CE77B2">
        <w:rPr>
          <w:rFonts w:ascii="Times New Roman" w:hAnsi="Times New Roman"/>
          <w:sz w:val="24"/>
          <w:szCs w:val="24"/>
          <w:lang w:val="en-US"/>
        </w:rPr>
        <w:t xml:space="preserve"> </w:t>
      </w:r>
      <w:r w:rsidR="00D2281A">
        <w:rPr>
          <w:rFonts w:ascii="Times New Roman" w:hAnsi="Times New Roman"/>
          <w:sz w:val="24"/>
          <w:szCs w:val="24"/>
          <w:lang w:val="en-US"/>
        </w:rPr>
        <w:t xml:space="preserve">in </w:t>
      </w:r>
      <w:r w:rsidRPr="00CE77B2">
        <w:rPr>
          <w:rFonts w:ascii="Times New Roman" w:hAnsi="Times New Roman"/>
          <w:sz w:val="24"/>
          <w:szCs w:val="24"/>
          <w:lang w:val="en-US"/>
        </w:rPr>
        <w:t>all subjects within the new Palestinian curriculum</w:t>
      </w:r>
      <w:r w:rsidR="001D05F8">
        <w:rPr>
          <w:rFonts w:ascii="Times New Roman" w:hAnsi="Times New Roman"/>
          <w:sz w:val="24"/>
          <w:szCs w:val="24"/>
          <w:lang w:val="en-US"/>
        </w:rPr>
        <w:t xml:space="preserve"> (e.g.</w:t>
      </w:r>
      <w:r w:rsidRPr="00CE77B2">
        <w:rPr>
          <w:rFonts w:ascii="Times New Roman" w:hAnsi="Times New Roman"/>
          <w:sz w:val="24"/>
          <w:szCs w:val="24"/>
          <w:lang w:val="en-US"/>
        </w:rPr>
        <w:t xml:space="preserve"> training in-service teachers on ICT use and implementation</w:t>
      </w:r>
      <w:r w:rsidR="00D2281A">
        <w:rPr>
          <w:rFonts w:ascii="Times New Roman" w:hAnsi="Times New Roman"/>
          <w:sz w:val="24"/>
          <w:szCs w:val="24"/>
          <w:lang w:val="en-US"/>
        </w:rPr>
        <w:t>)</w:t>
      </w:r>
      <w:r w:rsidRPr="00CE77B2">
        <w:rPr>
          <w:rFonts w:ascii="Times New Roman" w:hAnsi="Times New Roman"/>
          <w:sz w:val="24"/>
          <w:szCs w:val="24"/>
          <w:lang w:val="en-US"/>
        </w:rPr>
        <w:t xml:space="preserve">. Finally, there are ‘innovative or pioneering training workshops’. These are directed toward enhancing </w:t>
      </w:r>
      <w:r w:rsidR="001D05F8">
        <w:rPr>
          <w:rFonts w:ascii="Times New Roman" w:hAnsi="Times New Roman"/>
          <w:sz w:val="24"/>
          <w:szCs w:val="24"/>
          <w:lang w:val="en-US"/>
        </w:rPr>
        <w:t>teachers’ training in pedagogical skills regarding a child-cent</w:t>
      </w:r>
      <w:r w:rsidR="00D2281A">
        <w:rPr>
          <w:rFonts w:ascii="Times New Roman" w:hAnsi="Times New Roman"/>
          <w:sz w:val="24"/>
          <w:szCs w:val="24"/>
          <w:lang w:val="en-US"/>
        </w:rPr>
        <w:t>e</w:t>
      </w:r>
      <w:r w:rsidR="001D05F8">
        <w:rPr>
          <w:rFonts w:ascii="Times New Roman" w:hAnsi="Times New Roman"/>
          <w:sz w:val="24"/>
          <w:szCs w:val="24"/>
          <w:lang w:val="en-US"/>
        </w:rPr>
        <w:t xml:space="preserve">red teaching approach in order to develop </w:t>
      </w:r>
      <w:r w:rsidRPr="00CE77B2">
        <w:rPr>
          <w:rFonts w:ascii="Times New Roman" w:hAnsi="Times New Roman"/>
          <w:sz w:val="24"/>
          <w:szCs w:val="24"/>
          <w:lang w:val="en-US"/>
        </w:rPr>
        <w:t xml:space="preserve">students’ </w:t>
      </w:r>
      <w:r w:rsidR="00D2281A">
        <w:rPr>
          <w:rFonts w:ascii="Times New Roman" w:hAnsi="Times New Roman"/>
          <w:sz w:val="24"/>
          <w:szCs w:val="24"/>
          <w:lang w:val="en-US"/>
        </w:rPr>
        <w:t xml:space="preserve">critical </w:t>
      </w:r>
      <w:r w:rsidRPr="00CE77B2">
        <w:rPr>
          <w:rFonts w:ascii="Times New Roman" w:hAnsi="Times New Roman"/>
          <w:sz w:val="24"/>
          <w:szCs w:val="24"/>
          <w:lang w:val="en-US"/>
        </w:rPr>
        <w:t xml:space="preserve">thinking skills </w:t>
      </w:r>
      <w:r w:rsidR="002C19B1" w:rsidRPr="00CE77B2">
        <w:rPr>
          <w:rFonts w:ascii="Times New Roman" w:hAnsi="Times New Roman"/>
          <w:sz w:val="24"/>
          <w:szCs w:val="24"/>
          <w:lang w:val="en-US"/>
        </w:rPr>
        <w:t>e.g.</w:t>
      </w:r>
      <w:r w:rsidRPr="00CE77B2">
        <w:rPr>
          <w:rFonts w:ascii="Times New Roman" w:hAnsi="Times New Roman"/>
          <w:sz w:val="24"/>
          <w:szCs w:val="24"/>
          <w:lang w:val="en-US"/>
        </w:rPr>
        <w:t xml:space="preserve"> learning through life skills</w:t>
      </w:r>
      <w:r w:rsidR="00D2281A">
        <w:rPr>
          <w:rFonts w:ascii="Times New Roman" w:hAnsi="Times New Roman"/>
          <w:sz w:val="24"/>
          <w:szCs w:val="24"/>
          <w:lang w:val="en-US"/>
        </w:rPr>
        <w:t>.</w:t>
      </w:r>
      <w:r w:rsidRPr="00CE77B2">
        <w:rPr>
          <w:rFonts w:ascii="Times New Roman" w:hAnsi="Times New Roman"/>
          <w:sz w:val="24"/>
          <w:szCs w:val="24"/>
          <w:lang w:val="en-US"/>
        </w:rPr>
        <w:t xml:space="preserve"> These workshops are provided by the Directorate General for Supervision and Qualifications (DSQ) within the M</w:t>
      </w:r>
      <w:r w:rsidR="008A155F">
        <w:rPr>
          <w:rFonts w:ascii="Times New Roman" w:hAnsi="Times New Roman"/>
          <w:sz w:val="24"/>
          <w:szCs w:val="24"/>
          <w:lang w:val="en-US"/>
        </w:rPr>
        <w:t>O</w:t>
      </w:r>
      <w:r w:rsidRPr="00CE77B2">
        <w:rPr>
          <w:rFonts w:ascii="Times New Roman" w:hAnsi="Times New Roman"/>
          <w:sz w:val="24"/>
          <w:szCs w:val="24"/>
          <w:lang w:val="en-US"/>
        </w:rPr>
        <w:t>EHE</w:t>
      </w:r>
      <w:r w:rsidRPr="00CE77B2">
        <w:rPr>
          <w:lang w:val="en-US"/>
        </w:rPr>
        <w:t xml:space="preserve">. </w:t>
      </w:r>
    </w:p>
    <w:p w:rsidR="00B30272" w:rsidRPr="00CE77B2" w:rsidRDefault="00B30272" w:rsidP="00CE77B2">
      <w:pPr>
        <w:autoSpaceDE w:val="0"/>
        <w:autoSpaceDN w:val="0"/>
        <w:adjustRightInd w:val="0"/>
        <w:rPr>
          <w:rFonts w:ascii="Times New Roman" w:hAnsi="Times New Roman"/>
          <w:sz w:val="24"/>
          <w:szCs w:val="24"/>
          <w:lang w:val="en-US"/>
        </w:rPr>
      </w:pPr>
    </w:p>
    <w:p w:rsidR="00B30272" w:rsidRPr="00C8079E" w:rsidRDefault="00B30272" w:rsidP="00C8079E">
      <w:pPr>
        <w:ind w:left="720"/>
        <w:jc w:val="both"/>
        <w:rPr>
          <w:rFonts w:ascii="Times New Roman" w:hAnsi="Times New Roman"/>
          <w:sz w:val="24"/>
          <w:szCs w:val="24"/>
          <w:lang w:val="en-US"/>
        </w:rPr>
      </w:pPr>
      <w:r w:rsidRPr="00C8079E">
        <w:rPr>
          <w:rFonts w:ascii="Times New Roman" w:hAnsi="Times New Roman"/>
          <w:sz w:val="24"/>
          <w:szCs w:val="24"/>
          <w:lang w:val="en-US"/>
        </w:rPr>
        <w:t>Table (1) s</w:t>
      </w:r>
      <w:r>
        <w:rPr>
          <w:rFonts w:ascii="Times New Roman" w:hAnsi="Times New Roman"/>
          <w:sz w:val="24"/>
          <w:szCs w:val="24"/>
          <w:lang w:val="en-US"/>
        </w:rPr>
        <w:t>hows the main training workshop</w:t>
      </w:r>
      <w:r w:rsidRPr="00C8079E">
        <w:rPr>
          <w:rFonts w:ascii="Times New Roman" w:hAnsi="Times New Roman"/>
          <w:sz w:val="24"/>
          <w:szCs w:val="24"/>
          <w:lang w:val="en-US"/>
        </w:rPr>
        <w:t xml:space="preserve"> top</w:t>
      </w:r>
      <w:r>
        <w:rPr>
          <w:rFonts w:ascii="Times New Roman" w:hAnsi="Times New Roman"/>
          <w:sz w:val="24"/>
          <w:szCs w:val="24"/>
          <w:lang w:val="en-US"/>
        </w:rPr>
        <w:t>ics during the period 2004-2007</w:t>
      </w:r>
      <w:r w:rsidRPr="00C8079E">
        <w:rPr>
          <w:rFonts w:ascii="Times New Roman" w:hAnsi="Times New Roman"/>
          <w:sz w:val="24"/>
          <w:szCs w:val="24"/>
          <w:lang w:val="en-US"/>
        </w:rPr>
        <w:t xml:space="preserve"> and </w:t>
      </w:r>
      <w:r>
        <w:rPr>
          <w:rFonts w:ascii="Times New Roman" w:hAnsi="Times New Roman"/>
          <w:sz w:val="24"/>
          <w:szCs w:val="24"/>
          <w:lang w:val="en-US"/>
        </w:rPr>
        <w:t xml:space="preserve"> the </w:t>
      </w:r>
      <w:r w:rsidRPr="00C8079E">
        <w:rPr>
          <w:rFonts w:ascii="Times New Roman" w:hAnsi="Times New Roman"/>
          <w:sz w:val="24"/>
          <w:szCs w:val="24"/>
          <w:lang w:val="en-US"/>
        </w:rPr>
        <w:t>number</w:t>
      </w:r>
      <w:r>
        <w:rPr>
          <w:rFonts w:ascii="Times New Roman" w:hAnsi="Times New Roman"/>
          <w:sz w:val="24"/>
          <w:szCs w:val="24"/>
          <w:lang w:val="en-US"/>
        </w:rPr>
        <w:t>s</w:t>
      </w:r>
      <w:r w:rsidRPr="00C8079E">
        <w:rPr>
          <w:rFonts w:ascii="Times New Roman" w:hAnsi="Times New Roman"/>
          <w:sz w:val="24"/>
          <w:szCs w:val="24"/>
          <w:lang w:val="en-US"/>
        </w:rPr>
        <w:t xml:space="preserve"> of teachers who trained on these topics.</w:t>
      </w:r>
    </w:p>
    <w:p w:rsidR="00B30272" w:rsidRPr="00C8079E" w:rsidRDefault="00B30272" w:rsidP="00C8079E">
      <w:pPr>
        <w:ind w:left="720"/>
        <w:jc w:val="both"/>
        <w:rPr>
          <w:rFonts w:ascii="Times New Roman" w:hAnsi="Times New Roman"/>
          <w:sz w:val="24"/>
          <w:szCs w:val="24"/>
          <w:u w:val="single"/>
          <w:lang w:val="en-US"/>
        </w:rPr>
      </w:pPr>
      <w:r w:rsidRPr="00C8079E">
        <w:rPr>
          <w:rFonts w:ascii="Times New Roman" w:hAnsi="Times New Roman"/>
          <w:sz w:val="24"/>
          <w:szCs w:val="24"/>
          <w:u w:val="single"/>
          <w:lang w:val="en-US"/>
        </w:rPr>
        <w:t>Table (1): Training topics and number of  participants during (2004-2007) in West Bank and Gaza</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1440"/>
        <w:gridCol w:w="1260"/>
        <w:gridCol w:w="1260"/>
        <w:gridCol w:w="900"/>
      </w:tblGrid>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Topic</w:t>
            </w:r>
          </w:p>
        </w:tc>
        <w:tc>
          <w:tcPr>
            <w:tcW w:w="1440"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2004-2005</w:t>
            </w:r>
          </w:p>
        </w:tc>
        <w:tc>
          <w:tcPr>
            <w:tcW w:w="1260"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2005-2006</w:t>
            </w:r>
          </w:p>
        </w:tc>
        <w:tc>
          <w:tcPr>
            <w:tcW w:w="1260"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2006-2007</w:t>
            </w:r>
          </w:p>
        </w:tc>
        <w:tc>
          <w:tcPr>
            <w:tcW w:w="900"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Total</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Educational Planning</w:t>
            </w:r>
          </w:p>
        </w:tc>
        <w:tc>
          <w:tcPr>
            <w:tcW w:w="144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20</w:t>
            </w:r>
          </w:p>
        </w:tc>
        <w:tc>
          <w:tcPr>
            <w:tcW w:w="1260" w:type="dxa"/>
            <w:vAlign w:val="bottom"/>
          </w:tcPr>
          <w:p w:rsidR="00B30272" w:rsidRPr="00C8079E" w:rsidRDefault="00B30272" w:rsidP="00356D89">
            <w:pPr>
              <w:bidi/>
              <w:jc w:val="center"/>
              <w:rPr>
                <w:rFonts w:ascii="Times New Roman" w:hAnsi="Times New Roman"/>
                <w:sz w:val="24"/>
                <w:szCs w:val="24"/>
              </w:rPr>
            </w:pPr>
          </w:p>
        </w:tc>
        <w:tc>
          <w:tcPr>
            <w:tcW w:w="1260" w:type="dxa"/>
            <w:vAlign w:val="bottom"/>
          </w:tcPr>
          <w:p w:rsidR="00B30272" w:rsidRPr="00C8079E" w:rsidRDefault="00B30272" w:rsidP="00356D89">
            <w:pPr>
              <w:bidi/>
              <w:jc w:val="center"/>
              <w:rPr>
                <w:rFonts w:ascii="Times New Roman" w:hAnsi="Times New Roman"/>
                <w:sz w:val="24"/>
                <w:szCs w:val="24"/>
              </w:rPr>
            </w:pP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20</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Assessment and Evaluation</w:t>
            </w:r>
          </w:p>
        </w:tc>
        <w:tc>
          <w:tcPr>
            <w:tcW w:w="144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954</w:t>
            </w:r>
          </w:p>
        </w:tc>
        <w:tc>
          <w:tcPr>
            <w:tcW w:w="1260" w:type="dxa"/>
            <w:vAlign w:val="bottom"/>
          </w:tcPr>
          <w:p w:rsidR="00B30272" w:rsidRPr="00C8079E" w:rsidRDefault="00B30272" w:rsidP="00356D89">
            <w:pPr>
              <w:bidi/>
              <w:jc w:val="center"/>
              <w:rPr>
                <w:rFonts w:ascii="Times New Roman" w:hAnsi="Times New Roman"/>
                <w:sz w:val="24"/>
                <w:szCs w:val="24"/>
              </w:rPr>
            </w:pP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111</w:t>
            </w: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1065</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Students’ Projects</w:t>
            </w:r>
          </w:p>
        </w:tc>
        <w:tc>
          <w:tcPr>
            <w:tcW w:w="1440" w:type="dxa"/>
            <w:vAlign w:val="bottom"/>
          </w:tcPr>
          <w:p w:rsidR="00B30272" w:rsidRPr="00C8079E" w:rsidRDefault="00B30272" w:rsidP="00356D89">
            <w:pPr>
              <w:bidi/>
              <w:jc w:val="center"/>
              <w:rPr>
                <w:rFonts w:ascii="Times New Roman" w:hAnsi="Times New Roman"/>
                <w:sz w:val="24"/>
                <w:szCs w:val="24"/>
              </w:rPr>
            </w:pPr>
          </w:p>
        </w:tc>
        <w:tc>
          <w:tcPr>
            <w:tcW w:w="1260" w:type="dxa"/>
            <w:vAlign w:val="bottom"/>
          </w:tcPr>
          <w:p w:rsidR="00B30272" w:rsidRPr="00C8079E" w:rsidRDefault="00B30272" w:rsidP="00356D89">
            <w:pPr>
              <w:bidi/>
              <w:jc w:val="center"/>
              <w:rPr>
                <w:rFonts w:ascii="Times New Roman" w:hAnsi="Times New Roman"/>
                <w:sz w:val="24"/>
                <w:szCs w:val="24"/>
              </w:rPr>
            </w:pP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106</w:t>
            </w: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106</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New Teachers Preparation</w:t>
            </w:r>
          </w:p>
        </w:tc>
        <w:tc>
          <w:tcPr>
            <w:tcW w:w="1440" w:type="dxa"/>
            <w:vAlign w:val="bottom"/>
          </w:tcPr>
          <w:p w:rsidR="00B30272" w:rsidRPr="00C8079E" w:rsidRDefault="00B30272" w:rsidP="00356D89">
            <w:pPr>
              <w:bidi/>
              <w:jc w:val="center"/>
              <w:rPr>
                <w:rFonts w:ascii="Times New Roman" w:hAnsi="Times New Roman"/>
                <w:sz w:val="24"/>
                <w:szCs w:val="24"/>
              </w:rPr>
            </w:pPr>
          </w:p>
        </w:tc>
        <w:tc>
          <w:tcPr>
            <w:tcW w:w="1260" w:type="dxa"/>
            <w:vAlign w:val="bottom"/>
          </w:tcPr>
          <w:p w:rsidR="00B30272" w:rsidRPr="00C8079E" w:rsidRDefault="00B30272" w:rsidP="00356D89">
            <w:pPr>
              <w:bidi/>
              <w:jc w:val="center"/>
              <w:rPr>
                <w:rFonts w:ascii="Times New Roman" w:hAnsi="Times New Roman"/>
                <w:sz w:val="24"/>
                <w:szCs w:val="24"/>
              </w:rPr>
            </w:pP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439</w:t>
            </w: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439</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ICT</w:t>
            </w:r>
          </w:p>
        </w:tc>
        <w:tc>
          <w:tcPr>
            <w:tcW w:w="144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712</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820</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489</w:t>
            </w: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2021</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Content&amp; Teaching Methods</w:t>
            </w:r>
          </w:p>
        </w:tc>
        <w:tc>
          <w:tcPr>
            <w:tcW w:w="144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14275</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9715</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1195</w:t>
            </w: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25185</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Training Skills</w:t>
            </w:r>
          </w:p>
        </w:tc>
        <w:tc>
          <w:tcPr>
            <w:tcW w:w="144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170</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286</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181</w:t>
            </w: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637</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Clinical &amp; Supportive Teaching</w:t>
            </w:r>
          </w:p>
        </w:tc>
        <w:tc>
          <w:tcPr>
            <w:tcW w:w="1440" w:type="dxa"/>
            <w:vAlign w:val="bottom"/>
          </w:tcPr>
          <w:p w:rsidR="00B30272" w:rsidRPr="00C8079E" w:rsidRDefault="00B30272" w:rsidP="00356D89">
            <w:pPr>
              <w:bidi/>
              <w:jc w:val="center"/>
              <w:rPr>
                <w:rFonts w:ascii="Times New Roman" w:hAnsi="Times New Roman"/>
                <w:sz w:val="24"/>
                <w:szCs w:val="24"/>
              </w:rPr>
            </w:pPr>
          </w:p>
        </w:tc>
        <w:tc>
          <w:tcPr>
            <w:tcW w:w="1260" w:type="dxa"/>
            <w:vAlign w:val="bottom"/>
          </w:tcPr>
          <w:p w:rsidR="00B30272" w:rsidRPr="00C8079E" w:rsidRDefault="00B30272" w:rsidP="00356D89">
            <w:pPr>
              <w:bidi/>
              <w:jc w:val="center"/>
              <w:rPr>
                <w:rFonts w:ascii="Times New Roman" w:hAnsi="Times New Roman"/>
                <w:sz w:val="24"/>
                <w:szCs w:val="24"/>
              </w:rPr>
            </w:pP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20</w:t>
            </w: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20</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Classroom Management</w:t>
            </w:r>
          </w:p>
        </w:tc>
        <w:tc>
          <w:tcPr>
            <w:tcW w:w="1440" w:type="dxa"/>
            <w:vAlign w:val="bottom"/>
          </w:tcPr>
          <w:p w:rsidR="00B30272" w:rsidRPr="00C8079E" w:rsidRDefault="00B30272" w:rsidP="00356D89">
            <w:pPr>
              <w:bidi/>
              <w:jc w:val="center"/>
              <w:rPr>
                <w:rFonts w:ascii="Times New Roman" w:hAnsi="Times New Roman"/>
                <w:sz w:val="24"/>
                <w:szCs w:val="24"/>
              </w:rPr>
            </w:pP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60</w:t>
            </w:r>
          </w:p>
        </w:tc>
        <w:tc>
          <w:tcPr>
            <w:tcW w:w="1260" w:type="dxa"/>
            <w:vAlign w:val="bottom"/>
          </w:tcPr>
          <w:p w:rsidR="00B30272" w:rsidRPr="00C8079E" w:rsidRDefault="00B30272" w:rsidP="00356D89">
            <w:pPr>
              <w:bidi/>
              <w:jc w:val="center"/>
              <w:rPr>
                <w:rFonts w:ascii="Times New Roman" w:hAnsi="Times New Roman"/>
                <w:sz w:val="24"/>
                <w:szCs w:val="24"/>
              </w:rPr>
            </w:pP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60</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lastRenderedPageBreak/>
              <w:t xml:space="preserve">Total Number of Participants </w:t>
            </w:r>
          </w:p>
        </w:tc>
        <w:tc>
          <w:tcPr>
            <w:tcW w:w="144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16131</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10881</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2541</w:t>
            </w:r>
          </w:p>
        </w:tc>
        <w:tc>
          <w:tcPr>
            <w:tcW w:w="90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29553</w:t>
            </w:r>
          </w:p>
        </w:tc>
      </w:tr>
      <w:tr w:rsidR="00B30272" w:rsidRPr="00C8079E" w:rsidTr="00356D89">
        <w:tc>
          <w:tcPr>
            <w:tcW w:w="406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Total Number of Teachers</w:t>
            </w:r>
          </w:p>
        </w:tc>
        <w:tc>
          <w:tcPr>
            <w:tcW w:w="144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27527</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30870</w:t>
            </w:r>
          </w:p>
        </w:tc>
        <w:tc>
          <w:tcPr>
            <w:tcW w:w="1260" w:type="dxa"/>
            <w:vAlign w:val="bottom"/>
          </w:tcPr>
          <w:p w:rsidR="00B30272" w:rsidRPr="00C8079E" w:rsidRDefault="00B30272" w:rsidP="00356D89">
            <w:pPr>
              <w:bidi/>
              <w:jc w:val="center"/>
              <w:rPr>
                <w:rFonts w:ascii="Times New Roman" w:hAnsi="Times New Roman"/>
                <w:sz w:val="24"/>
                <w:szCs w:val="24"/>
              </w:rPr>
            </w:pPr>
            <w:r w:rsidRPr="00C8079E">
              <w:rPr>
                <w:rFonts w:ascii="Times New Roman" w:hAnsi="Times New Roman"/>
                <w:sz w:val="24"/>
                <w:szCs w:val="24"/>
              </w:rPr>
              <w:t>31340</w:t>
            </w:r>
          </w:p>
        </w:tc>
        <w:tc>
          <w:tcPr>
            <w:tcW w:w="900" w:type="dxa"/>
            <w:vAlign w:val="bottom"/>
          </w:tcPr>
          <w:p w:rsidR="00B30272" w:rsidRPr="00C8079E" w:rsidRDefault="00B30272" w:rsidP="00356D89">
            <w:pPr>
              <w:bidi/>
              <w:jc w:val="center"/>
              <w:rPr>
                <w:rFonts w:ascii="Times New Roman" w:hAnsi="Times New Roman"/>
                <w:sz w:val="24"/>
                <w:szCs w:val="24"/>
              </w:rPr>
            </w:pPr>
          </w:p>
        </w:tc>
      </w:tr>
    </w:tbl>
    <w:p w:rsidR="00B30272" w:rsidRDefault="00B30272" w:rsidP="00C8079E">
      <w:pPr>
        <w:ind w:left="720"/>
        <w:jc w:val="both"/>
        <w:rPr>
          <w:rFonts w:ascii="Times New Roman" w:hAnsi="Times New Roman"/>
          <w:sz w:val="24"/>
          <w:szCs w:val="24"/>
          <w:lang w:val="en-US"/>
        </w:rPr>
      </w:pPr>
      <w:r w:rsidRPr="00C8079E">
        <w:rPr>
          <w:rFonts w:ascii="Times New Roman" w:hAnsi="Times New Roman"/>
          <w:sz w:val="24"/>
          <w:szCs w:val="24"/>
          <w:lang w:val="en-US"/>
        </w:rPr>
        <w:t xml:space="preserve"> </w:t>
      </w:r>
    </w:p>
    <w:p w:rsidR="00B30272" w:rsidRPr="00C8079E" w:rsidRDefault="00B30272" w:rsidP="00C8079E">
      <w:pPr>
        <w:ind w:left="720"/>
        <w:jc w:val="both"/>
        <w:rPr>
          <w:rFonts w:ascii="Times New Roman" w:hAnsi="Times New Roman"/>
          <w:sz w:val="24"/>
          <w:szCs w:val="24"/>
          <w:lang w:val="en-US"/>
        </w:rPr>
      </w:pPr>
      <w:r>
        <w:rPr>
          <w:rFonts w:ascii="Times New Roman" w:hAnsi="Times New Roman"/>
          <w:sz w:val="24"/>
          <w:szCs w:val="24"/>
          <w:lang w:val="en-US"/>
        </w:rPr>
        <w:t xml:space="preserve">The above summary indicates </w:t>
      </w:r>
      <w:r w:rsidRPr="00C8079E">
        <w:rPr>
          <w:rFonts w:ascii="Times New Roman" w:hAnsi="Times New Roman"/>
          <w:sz w:val="24"/>
          <w:szCs w:val="24"/>
          <w:lang w:val="en-US"/>
        </w:rPr>
        <w:t xml:space="preserve">that </w:t>
      </w:r>
      <w:r>
        <w:rPr>
          <w:rFonts w:ascii="Times New Roman" w:hAnsi="Times New Roman"/>
          <w:sz w:val="24"/>
          <w:szCs w:val="24"/>
          <w:lang w:val="en-US"/>
        </w:rPr>
        <w:t>the Ministry placed</w:t>
      </w:r>
      <w:r w:rsidRPr="00C8079E">
        <w:rPr>
          <w:rFonts w:ascii="Times New Roman" w:hAnsi="Times New Roman"/>
          <w:sz w:val="24"/>
          <w:szCs w:val="24"/>
          <w:lang w:val="en-US"/>
        </w:rPr>
        <w:t xml:space="preserve"> </w:t>
      </w:r>
      <w:r>
        <w:rPr>
          <w:rFonts w:ascii="Times New Roman" w:hAnsi="Times New Roman"/>
          <w:sz w:val="24"/>
          <w:szCs w:val="24"/>
          <w:lang w:val="en-US"/>
        </w:rPr>
        <w:t xml:space="preserve">a greater </w:t>
      </w:r>
      <w:r w:rsidRPr="00C8079E">
        <w:rPr>
          <w:rFonts w:ascii="Times New Roman" w:hAnsi="Times New Roman"/>
          <w:sz w:val="24"/>
          <w:szCs w:val="24"/>
          <w:lang w:val="en-US"/>
        </w:rPr>
        <w:t>emphasis on content and te</w:t>
      </w:r>
      <w:r>
        <w:rPr>
          <w:rFonts w:ascii="Times New Roman" w:hAnsi="Times New Roman"/>
          <w:sz w:val="24"/>
          <w:szCs w:val="24"/>
          <w:lang w:val="en-US"/>
        </w:rPr>
        <w:t>aching methods and less emphasis</w:t>
      </w:r>
      <w:r w:rsidRPr="00C8079E">
        <w:rPr>
          <w:rFonts w:ascii="Times New Roman" w:hAnsi="Times New Roman"/>
          <w:sz w:val="24"/>
          <w:szCs w:val="24"/>
          <w:lang w:val="en-US"/>
        </w:rPr>
        <w:t xml:space="preserve"> on</w:t>
      </w:r>
      <w:r>
        <w:rPr>
          <w:rFonts w:ascii="Times New Roman" w:hAnsi="Times New Roman"/>
          <w:sz w:val="24"/>
          <w:szCs w:val="24"/>
          <w:lang w:val="en-US"/>
        </w:rPr>
        <w:t xml:space="preserve"> </w:t>
      </w:r>
      <w:r w:rsidR="001D05F8">
        <w:rPr>
          <w:rFonts w:ascii="Times New Roman" w:hAnsi="Times New Roman"/>
          <w:sz w:val="24"/>
          <w:szCs w:val="24"/>
          <w:lang w:val="en-US"/>
        </w:rPr>
        <w:t>child-cent</w:t>
      </w:r>
      <w:r w:rsidR="00D2281A">
        <w:rPr>
          <w:rFonts w:ascii="Times New Roman" w:hAnsi="Times New Roman"/>
          <w:sz w:val="24"/>
          <w:szCs w:val="24"/>
          <w:lang w:val="en-US"/>
        </w:rPr>
        <w:t>e</w:t>
      </w:r>
      <w:r w:rsidR="001D05F8">
        <w:rPr>
          <w:rFonts w:ascii="Times New Roman" w:hAnsi="Times New Roman"/>
          <w:sz w:val="24"/>
          <w:szCs w:val="24"/>
          <w:lang w:val="en-US"/>
        </w:rPr>
        <w:t>red</w:t>
      </w:r>
      <w:r>
        <w:rPr>
          <w:rFonts w:ascii="Times New Roman" w:hAnsi="Times New Roman"/>
          <w:sz w:val="24"/>
          <w:szCs w:val="24"/>
          <w:lang w:val="en-US"/>
        </w:rPr>
        <w:t xml:space="preserve"> and supportive teaching during this period.</w:t>
      </w:r>
    </w:p>
    <w:p w:rsidR="00B30272" w:rsidRPr="00C8079E" w:rsidRDefault="00B30272" w:rsidP="00C8079E">
      <w:pPr>
        <w:ind w:left="720"/>
        <w:jc w:val="both"/>
        <w:rPr>
          <w:rFonts w:ascii="Times New Roman" w:hAnsi="Times New Roman"/>
          <w:sz w:val="24"/>
          <w:szCs w:val="24"/>
          <w:u w:val="single"/>
          <w:lang w:val="en-US"/>
        </w:rPr>
      </w:pPr>
      <w:r w:rsidRPr="00C8079E">
        <w:rPr>
          <w:rFonts w:ascii="Times New Roman" w:hAnsi="Times New Roman"/>
          <w:sz w:val="24"/>
          <w:szCs w:val="24"/>
          <w:u w:val="single"/>
          <w:lang w:val="en-US"/>
        </w:rPr>
        <w:t xml:space="preserve">Table (2): Training topics and number of participants during (2008-2013) in West Bank only. </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720"/>
        <w:gridCol w:w="740"/>
        <w:gridCol w:w="897"/>
        <w:gridCol w:w="776"/>
        <w:gridCol w:w="776"/>
        <w:gridCol w:w="795"/>
        <w:gridCol w:w="804"/>
      </w:tblGrid>
      <w:tr w:rsidR="00B30272" w:rsidRPr="00C8079E"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Topic</w:t>
            </w:r>
          </w:p>
        </w:tc>
        <w:tc>
          <w:tcPr>
            <w:tcW w:w="720"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2007-2008</w:t>
            </w:r>
          </w:p>
        </w:tc>
        <w:tc>
          <w:tcPr>
            <w:tcW w:w="740"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2008-2009</w:t>
            </w:r>
          </w:p>
        </w:tc>
        <w:tc>
          <w:tcPr>
            <w:tcW w:w="897"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2009-2010</w:t>
            </w:r>
          </w:p>
        </w:tc>
        <w:tc>
          <w:tcPr>
            <w:tcW w:w="776"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2010-2011</w:t>
            </w:r>
          </w:p>
        </w:tc>
        <w:tc>
          <w:tcPr>
            <w:tcW w:w="776"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2011-2012</w:t>
            </w:r>
          </w:p>
        </w:tc>
        <w:tc>
          <w:tcPr>
            <w:tcW w:w="795"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2012-2013</w:t>
            </w:r>
          </w:p>
        </w:tc>
        <w:tc>
          <w:tcPr>
            <w:tcW w:w="804"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Total</w:t>
            </w:r>
          </w:p>
        </w:tc>
      </w:tr>
      <w:tr w:rsidR="00B30272" w:rsidRPr="00C8079E"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Educational Planning</w:t>
            </w:r>
          </w:p>
        </w:tc>
        <w:tc>
          <w:tcPr>
            <w:tcW w:w="720" w:type="dxa"/>
            <w:vAlign w:val="center"/>
          </w:tcPr>
          <w:p w:rsidR="00B30272" w:rsidRPr="00C8079E" w:rsidRDefault="00B30272" w:rsidP="00356D89">
            <w:pPr>
              <w:jc w:val="center"/>
              <w:rPr>
                <w:rFonts w:ascii="Times New Roman" w:hAnsi="Times New Roman"/>
                <w:color w:val="000000"/>
                <w:sz w:val="24"/>
                <w:szCs w:val="24"/>
                <w:lang w:eastAsia="ar-SA"/>
              </w:rPr>
            </w:pPr>
          </w:p>
        </w:tc>
        <w:tc>
          <w:tcPr>
            <w:tcW w:w="740" w:type="dxa"/>
            <w:vAlign w:val="center"/>
          </w:tcPr>
          <w:p w:rsidR="00B30272" w:rsidRPr="00C8079E" w:rsidRDefault="00B30272" w:rsidP="00356D89">
            <w:pPr>
              <w:jc w:val="center"/>
              <w:rPr>
                <w:rFonts w:ascii="Times New Roman" w:hAnsi="Times New Roman"/>
                <w:color w:val="000000"/>
                <w:sz w:val="24"/>
                <w:szCs w:val="24"/>
                <w:lang w:eastAsia="ar-SA"/>
              </w:rPr>
            </w:pPr>
          </w:p>
        </w:tc>
        <w:tc>
          <w:tcPr>
            <w:tcW w:w="897"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58</w:t>
            </w:r>
          </w:p>
        </w:tc>
        <w:tc>
          <w:tcPr>
            <w:tcW w:w="776" w:type="dxa"/>
            <w:vAlign w:val="center"/>
          </w:tcPr>
          <w:p w:rsidR="00B30272" w:rsidRPr="00C8079E" w:rsidRDefault="00B30272" w:rsidP="00356D89">
            <w:pPr>
              <w:jc w:val="center"/>
              <w:rPr>
                <w:rFonts w:ascii="Times New Roman" w:hAnsi="Times New Roman"/>
                <w:color w:val="000000"/>
                <w:sz w:val="24"/>
                <w:szCs w:val="24"/>
                <w:lang w:eastAsia="ar-SA"/>
              </w:rPr>
            </w:pPr>
          </w:p>
        </w:tc>
        <w:tc>
          <w:tcPr>
            <w:tcW w:w="776" w:type="dxa"/>
            <w:vAlign w:val="center"/>
          </w:tcPr>
          <w:p w:rsidR="00B30272" w:rsidRPr="00C8079E" w:rsidRDefault="00B30272" w:rsidP="00356D89">
            <w:pPr>
              <w:jc w:val="center"/>
              <w:rPr>
                <w:rFonts w:ascii="Times New Roman" w:hAnsi="Times New Roman"/>
                <w:color w:val="000000"/>
                <w:sz w:val="24"/>
                <w:szCs w:val="24"/>
                <w:lang w:eastAsia="ar-SA"/>
              </w:rPr>
            </w:pPr>
          </w:p>
        </w:tc>
        <w:tc>
          <w:tcPr>
            <w:tcW w:w="795"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150</w:t>
            </w:r>
          </w:p>
        </w:tc>
        <w:tc>
          <w:tcPr>
            <w:tcW w:w="804"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208</w:t>
            </w:r>
          </w:p>
        </w:tc>
      </w:tr>
      <w:tr w:rsidR="00B30272" w:rsidRPr="00C8079E"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Assessment and Evaluation</w:t>
            </w:r>
          </w:p>
        </w:tc>
        <w:tc>
          <w:tcPr>
            <w:tcW w:w="720"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147</w:t>
            </w:r>
          </w:p>
        </w:tc>
        <w:tc>
          <w:tcPr>
            <w:tcW w:w="740"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36</w:t>
            </w:r>
          </w:p>
        </w:tc>
        <w:tc>
          <w:tcPr>
            <w:tcW w:w="897" w:type="dxa"/>
            <w:vAlign w:val="center"/>
          </w:tcPr>
          <w:p w:rsidR="00B30272" w:rsidRPr="00C8079E" w:rsidRDefault="00B30272" w:rsidP="00356D89">
            <w:pPr>
              <w:jc w:val="center"/>
              <w:rPr>
                <w:rFonts w:ascii="Times New Roman" w:hAnsi="Times New Roman"/>
                <w:color w:val="000000"/>
                <w:sz w:val="24"/>
                <w:szCs w:val="24"/>
                <w:lang w:eastAsia="ar-SA"/>
              </w:rPr>
            </w:pPr>
          </w:p>
        </w:tc>
        <w:tc>
          <w:tcPr>
            <w:tcW w:w="776" w:type="dxa"/>
            <w:vAlign w:val="center"/>
          </w:tcPr>
          <w:p w:rsidR="00B30272" w:rsidRPr="00C8079E" w:rsidRDefault="00B30272" w:rsidP="00356D89">
            <w:pPr>
              <w:jc w:val="center"/>
              <w:rPr>
                <w:rFonts w:ascii="Times New Roman" w:hAnsi="Times New Roman"/>
                <w:color w:val="000000"/>
                <w:sz w:val="24"/>
                <w:szCs w:val="24"/>
                <w:lang w:eastAsia="ar-SA"/>
              </w:rPr>
            </w:pPr>
          </w:p>
        </w:tc>
        <w:tc>
          <w:tcPr>
            <w:tcW w:w="776" w:type="dxa"/>
            <w:vAlign w:val="center"/>
          </w:tcPr>
          <w:p w:rsidR="00B30272" w:rsidRPr="00C8079E" w:rsidRDefault="00B30272" w:rsidP="00356D89">
            <w:pPr>
              <w:jc w:val="center"/>
              <w:rPr>
                <w:rFonts w:ascii="Times New Roman" w:hAnsi="Times New Roman"/>
                <w:color w:val="000000"/>
                <w:sz w:val="24"/>
                <w:szCs w:val="24"/>
                <w:lang w:eastAsia="ar-SA"/>
              </w:rPr>
            </w:pPr>
          </w:p>
        </w:tc>
        <w:tc>
          <w:tcPr>
            <w:tcW w:w="795"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400</w:t>
            </w:r>
          </w:p>
        </w:tc>
        <w:tc>
          <w:tcPr>
            <w:tcW w:w="804"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583</w:t>
            </w:r>
          </w:p>
        </w:tc>
      </w:tr>
      <w:tr w:rsidR="00B30272" w:rsidRPr="00C8079E"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Students’ Projects</w:t>
            </w:r>
          </w:p>
        </w:tc>
        <w:tc>
          <w:tcPr>
            <w:tcW w:w="720"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19</w:t>
            </w:r>
          </w:p>
        </w:tc>
        <w:tc>
          <w:tcPr>
            <w:tcW w:w="740"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120</w:t>
            </w:r>
          </w:p>
        </w:tc>
        <w:tc>
          <w:tcPr>
            <w:tcW w:w="897"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200</w:t>
            </w:r>
          </w:p>
        </w:tc>
        <w:tc>
          <w:tcPr>
            <w:tcW w:w="776"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350</w:t>
            </w:r>
          </w:p>
        </w:tc>
        <w:tc>
          <w:tcPr>
            <w:tcW w:w="776"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400</w:t>
            </w:r>
          </w:p>
        </w:tc>
        <w:tc>
          <w:tcPr>
            <w:tcW w:w="795"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400</w:t>
            </w:r>
          </w:p>
        </w:tc>
        <w:tc>
          <w:tcPr>
            <w:tcW w:w="804"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1489</w:t>
            </w:r>
          </w:p>
        </w:tc>
      </w:tr>
      <w:tr w:rsidR="00B30272" w:rsidRPr="00C8079E"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New Teachers Preparation</w:t>
            </w:r>
          </w:p>
        </w:tc>
        <w:tc>
          <w:tcPr>
            <w:tcW w:w="720"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420</w:t>
            </w:r>
          </w:p>
        </w:tc>
        <w:tc>
          <w:tcPr>
            <w:tcW w:w="740"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409</w:t>
            </w:r>
          </w:p>
        </w:tc>
        <w:tc>
          <w:tcPr>
            <w:tcW w:w="897"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317</w:t>
            </w:r>
          </w:p>
        </w:tc>
        <w:tc>
          <w:tcPr>
            <w:tcW w:w="776"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851</w:t>
            </w:r>
          </w:p>
        </w:tc>
        <w:tc>
          <w:tcPr>
            <w:tcW w:w="776"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920</w:t>
            </w:r>
          </w:p>
        </w:tc>
        <w:tc>
          <w:tcPr>
            <w:tcW w:w="795"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980</w:t>
            </w:r>
          </w:p>
        </w:tc>
        <w:tc>
          <w:tcPr>
            <w:tcW w:w="804" w:type="dxa"/>
            <w:vAlign w:val="center"/>
          </w:tcPr>
          <w:p w:rsidR="00B30272" w:rsidRPr="00C8079E" w:rsidRDefault="00B30272" w:rsidP="00356D89">
            <w:pPr>
              <w:jc w:val="center"/>
              <w:rPr>
                <w:rFonts w:ascii="Times New Roman" w:hAnsi="Times New Roman"/>
                <w:color w:val="000000"/>
                <w:sz w:val="24"/>
                <w:szCs w:val="24"/>
                <w:lang w:eastAsia="ar-SA"/>
              </w:rPr>
            </w:pPr>
            <w:r w:rsidRPr="00C8079E">
              <w:rPr>
                <w:rFonts w:ascii="Times New Roman" w:hAnsi="Times New Roman"/>
                <w:color w:val="000000"/>
                <w:sz w:val="24"/>
                <w:szCs w:val="24"/>
              </w:rPr>
              <w:t>3897</w:t>
            </w:r>
          </w:p>
        </w:tc>
      </w:tr>
      <w:tr w:rsidR="00B30272"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ICT</w:t>
            </w:r>
          </w:p>
        </w:tc>
        <w:tc>
          <w:tcPr>
            <w:tcW w:w="720"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517</w:t>
            </w:r>
          </w:p>
        </w:tc>
        <w:tc>
          <w:tcPr>
            <w:tcW w:w="740"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1907</w:t>
            </w:r>
          </w:p>
        </w:tc>
        <w:tc>
          <w:tcPr>
            <w:tcW w:w="897"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2035</w:t>
            </w: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2693</w:t>
            </w: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2350</w:t>
            </w:r>
          </w:p>
        </w:tc>
        <w:tc>
          <w:tcPr>
            <w:tcW w:w="795"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3200</w:t>
            </w:r>
          </w:p>
        </w:tc>
        <w:tc>
          <w:tcPr>
            <w:tcW w:w="804"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12702</w:t>
            </w:r>
          </w:p>
        </w:tc>
      </w:tr>
      <w:tr w:rsidR="00B30272"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Content</w:t>
            </w:r>
            <w:r>
              <w:rPr>
                <w:rFonts w:ascii="Times New Roman" w:hAnsi="Times New Roman"/>
                <w:b/>
                <w:bCs/>
                <w:sz w:val="24"/>
                <w:szCs w:val="24"/>
                <w:lang w:val="en-US"/>
              </w:rPr>
              <w:t xml:space="preserve"> </w:t>
            </w:r>
            <w:r w:rsidRPr="00C8079E">
              <w:rPr>
                <w:rFonts w:ascii="Times New Roman" w:hAnsi="Times New Roman"/>
                <w:b/>
                <w:bCs/>
                <w:sz w:val="24"/>
                <w:szCs w:val="24"/>
                <w:lang w:val="en-US"/>
              </w:rPr>
              <w:t>&amp;</w:t>
            </w:r>
            <w:r>
              <w:rPr>
                <w:rFonts w:ascii="Times New Roman" w:hAnsi="Times New Roman"/>
                <w:b/>
                <w:bCs/>
                <w:sz w:val="24"/>
                <w:szCs w:val="24"/>
                <w:lang w:val="en-US"/>
              </w:rPr>
              <w:t xml:space="preserve"> </w:t>
            </w:r>
            <w:r w:rsidRPr="00C8079E">
              <w:rPr>
                <w:rFonts w:ascii="Times New Roman" w:hAnsi="Times New Roman"/>
                <w:b/>
                <w:bCs/>
                <w:sz w:val="24"/>
                <w:szCs w:val="24"/>
                <w:lang w:val="en-US"/>
              </w:rPr>
              <w:t>Teaching Methods</w:t>
            </w:r>
          </w:p>
        </w:tc>
        <w:tc>
          <w:tcPr>
            <w:tcW w:w="720"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3444</w:t>
            </w:r>
          </w:p>
        </w:tc>
        <w:tc>
          <w:tcPr>
            <w:tcW w:w="740"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3916</w:t>
            </w:r>
          </w:p>
        </w:tc>
        <w:tc>
          <w:tcPr>
            <w:tcW w:w="897"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1868</w:t>
            </w: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2252</w:t>
            </w: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97</w:t>
            </w:r>
          </w:p>
        </w:tc>
        <w:tc>
          <w:tcPr>
            <w:tcW w:w="795"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5200</w:t>
            </w:r>
          </w:p>
        </w:tc>
        <w:tc>
          <w:tcPr>
            <w:tcW w:w="804"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16777</w:t>
            </w:r>
          </w:p>
        </w:tc>
      </w:tr>
      <w:tr w:rsidR="00B30272"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Training Skills</w:t>
            </w:r>
          </w:p>
        </w:tc>
        <w:tc>
          <w:tcPr>
            <w:tcW w:w="720"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740"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897"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78</w:t>
            </w: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56</w:t>
            </w:r>
          </w:p>
        </w:tc>
        <w:tc>
          <w:tcPr>
            <w:tcW w:w="795"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804"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134</w:t>
            </w:r>
          </w:p>
        </w:tc>
      </w:tr>
      <w:tr w:rsidR="00B30272" w:rsidTr="00356D89">
        <w:tc>
          <w:tcPr>
            <w:tcW w:w="3348" w:type="dxa"/>
            <w:shd w:val="pct12" w:color="auto" w:fill="auto"/>
          </w:tcPr>
          <w:p w:rsidR="00B30272" w:rsidRPr="00C8079E" w:rsidRDefault="00B30272" w:rsidP="00C8079E">
            <w:pPr>
              <w:rPr>
                <w:rFonts w:ascii="Times New Roman" w:hAnsi="Times New Roman"/>
                <w:b/>
                <w:bCs/>
                <w:sz w:val="24"/>
                <w:szCs w:val="24"/>
                <w:lang w:val="en-US"/>
              </w:rPr>
            </w:pPr>
            <w:r w:rsidRPr="00C8079E">
              <w:rPr>
                <w:rFonts w:ascii="Times New Roman" w:hAnsi="Times New Roman"/>
                <w:b/>
                <w:bCs/>
                <w:sz w:val="24"/>
                <w:szCs w:val="24"/>
                <w:lang w:val="en-US"/>
              </w:rPr>
              <w:t>Clinical</w:t>
            </w:r>
            <w:r>
              <w:rPr>
                <w:rFonts w:ascii="Times New Roman" w:hAnsi="Times New Roman"/>
                <w:b/>
                <w:bCs/>
                <w:sz w:val="24"/>
                <w:szCs w:val="24"/>
                <w:lang w:val="en-US"/>
              </w:rPr>
              <w:t xml:space="preserve"> </w:t>
            </w:r>
            <w:r w:rsidRPr="00C8079E">
              <w:rPr>
                <w:rFonts w:ascii="Times New Roman" w:hAnsi="Times New Roman"/>
                <w:b/>
                <w:bCs/>
                <w:sz w:val="24"/>
                <w:szCs w:val="24"/>
                <w:lang w:val="en-US"/>
              </w:rPr>
              <w:t>&amp;</w:t>
            </w:r>
            <w:r>
              <w:rPr>
                <w:rFonts w:ascii="Times New Roman" w:hAnsi="Times New Roman"/>
                <w:b/>
                <w:bCs/>
                <w:sz w:val="24"/>
                <w:szCs w:val="24"/>
                <w:lang w:val="en-US"/>
              </w:rPr>
              <w:t xml:space="preserve"> </w:t>
            </w:r>
            <w:r w:rsidRPr="00C8079E">
              <w:rPr>
                <w:rFonts w:ascii="Times New Roman" w:hAnsi="Times New Roman"/>
                <w:b/>
                <w:bCs/>
                <w:sz w:val="24"/>
                <w:szCs w:val="24"/>
                <w:lang w:val="en-US"/>
              </w:rPr>
              <w:t>Supportive Teaching</w:t>
            </w:r>
          </w:p>
        </w:tc>
        <w:tc>
          <w:tcPr>
            <w:tcW w:w="720"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740"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200</w:t>
            </w:r>
          </w:p>
        </w:tc>
        <w:tc>
          <w:tcPr>
            <w:tcW w:w="897"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111</w:t>
            </w: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64</w:t>
            </w: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tl/>
              </w:rPr>
              <w:t>166</w:t>
            </w:r>
          </w:p>
        </w:tc>
        <w:tc>
          <w:tcPr>
            <w:tcW w:w="795"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tl/>
              </w:rPr>
              <w:t>1520</w:t>
            </w:r>
          </w:p>
        </w:tc>
        <w:tc>
          <w:tcPr>
            <w:tcW w:w="804"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2061</w:t>
            </w:r>
          </w:p>
        </w:tc>
      </w:tr>
      <w:tr w:rsidR="00B30272"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Classroom Management</w:t>
            </w:r>
          </w:p>
        </w:tc>
        <w:tc>
          <w:tcPr>
            <w:tcW w:w="720"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740"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897"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p>
        </w:tc>
        <w:tc>
          <w:tcPr>
            <w:tcW w:w="795"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250</w:t>
            </w:r>
          </w:p>
        </w:tc>
        <w:tc>
          <w:tcPr>
            <w:tcW w:w="804"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250</w:t>
            </w:r>
          </w:p>
        </w:tc>
      </w:tr>
      <w:tr w:rsidR="00B30272"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 xml:space="preserve">Total Number of Participants </w:t>
            </w:r>
          </w:p>
        </w:tc>
        <w:tc>
          <w:tcPr>
            <w:tcW w:w="720" w:type="dxa"/>
            <w:vAlign w:val="center"/>
          </w:tcPr>
          <w:p w:rsidR="00B30272" w:rsidRPr="00D90A39" w:rsidRDefault="00B30272" w:rsidP="00356D89">
            <w:pPr>
              <w:jc w:val="center"/>
              <w:rPr>
                <w:rFonts w:ascii="Arial" w:hAnsi="Arial" w:cs="Arial"/>
                <w:color w:val="000000"/>
                <w:sz w:val="20"/>
                <w:lang w:eastAsia="ar-SA"/>
              </w:rPr>
            </w:pPr>
            <w:r w:rsidRPr="00D90A39">
              <w:rPr>
                <w:rFonts w:ascii="Arial" w:hAnsi="Arial" w:cs="Arial"/>
                <w:color w:val="000000"/>
                <w:sz w:val="20"/>
              </w:rPr>
              <w:t>4547</w:t>
            </w:r>
          </w:p>
        </w:tc>
        <w:tc>
          <w:tcPr>
            <w:tcW w:w="740"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6588</w:t>
            </w:r>
          </w:p>
        </w:tc>
        <w:tc>
          <w:tcPr>
            <w:tcW w:w="897"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4667</w:t>
            </w: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6210</w:t>
            </w:r>
          </w:p>
        </w:tc>
        <w:tc>
          <w:tcPr>
            <w:tcW w:w="776"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3989</w:t>
            </w:r>
          </w:p>
        </w:tc>
        <w:tc>
          <w:tcPr>
            <w:tcW w:w="795"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12100</w:t>
            </w:r>
          </w:p>
        </w:tc>
        <w:tc>
          <w:tcPr>
            <w:tcW w:w="804" w:type="dxa"/>
            <w:vAlign w:val="center"/>
          </w:tcPr>
          <w:p w:rsidR="00B30272" w:rsidRPr="00D90A39" w:rsidRDefault="00B30272" w:rsidP="00356D89">
            <w:pPr>
              <w:jc w:val="center"/>
              <w:rPr>
                <w:rFonts w:ascii="Simplified Arabic" w:hAnsi="Simplified Arabic" w:cs="Simplified Arabic"/>
                <w:color w:val="000000"/>
                <w:lang w:eastAsia="ar-SA"/>
              </w:rPr>
            </w:pPr>
            <w:r w:rsidRPr="00D90A39">
              <w:rPr>
                <w:rFonts w:ascii="Simplified Arabic" w:hAnsi="Simplified Arabic" w:cs="Simplified Arabic"/>
                <w:color w:val="000000"/>
              </w:rPr>
              <w:t>38101</w:t>
            </w:r>
          </w:p>
        </w:tc>
      </w:tr>
      <w:tr w:rsidR="00B30272" w:rsidTr="00356D89">
        <w:tc>
          <w:tcPr>
            <w:tcW w:w="3348" w:type="dxa"/>
            <w:shd w:val="pct12" w:color="auto" w:fill="auto"/>
          </w:tcPr>
          <w:p w:rsidR="00B30272" w:rsidRPr="00C8079E" w:rsidRDefault="00B30272" w:rsidP="00356D89">
            <w:pPr>
              <w:jc w:val="both"/>
              <w:rPr>
                <w:rFonts w:ascii="Times New Roman" w:hAnsi="Times New Roman"/>
                <w:b/>
                <w:bCs/>
                <w:sz w:val="24"/>
                <w:szCs w:val="24"/>
                <w:lang w:val="en-US"/>
              </w:rPr>
            </w:pPr>
            <w:r w:rsidRPr="00C8079E">
              <w:rPr>
                <w:rFonts w:ascii="Times New Roman" w:hAnsi="Times New Roman"/>
                <w:b/>
                <w:bCs/>
                <w:sz w:val="24"/>
                <w:szCs w:val="24"/>
                <w:lang w:val="en-US"/>
              </w:rPr>
              <w:t>Total Number of Teachers</w:t>
            </w:r>
          </w:p>
        </w:tc>
        <w:tc>
          <w:tcPr>
            <w:tcW w:w="720" w:type="dxa"/>
            <w:vAlign w:val="center"/>
          </w:tcPr>
          <w:p w:rsidR="00B30272" w:rsidRPr="00D90A39" w:rsidRDefault="00B30272" w:rsidP="00356D89">
            <w:pPr>
              <w:jc w:val="center"/>
              <w:rPr>
                <w:rFonts w:ascii="Arial" w:hAnsi="Arial" w:cs="Arial"/>
                <w:color w:val="000000"/>
                <w:sz w:val="20"/>
                <w:lang w:eastAsia="ar-SA"/>
              </w:rPr>
            </w:pPr>
            <w:r w:rsidRPr="00D90A39">
              <w:rPr>
                <w:rFonts w:ascii="Arial" w:hAnsi="Arial" w:cs="Arial"/>
                <w:color w:val="000000"/>
                <w:sz w:val="20"/>
              </w:rPr>
              <w:t>24333</w:t>
            </w:r>
          </w:p>
        </w:tc>
        <w:tc>
          <w:tcPr>
            <w:tcW w:w="740" w:type="dxa"/>
            <w:vAlign w:val="center"/>
          </w:tcPr>
          <w:p w:rsidR="00B30272" w:rsidRPr="00D90A39" w:rsidRDefault="00B30272" w:rsidP="00356D89">
            <w:pPr>
              <w:jc w:val="center"/>
              <w:rPr>
                <w:rFonts w:ascii="Arial" w:hAnsi="Arial" w:cs="Arial"/>
                <w:color w:val="000000"/>
                <w:sz w:val="20"/>
                <w:lang w:eastAsia="ar-SA"/>
              </w:rPr>
            </w:pPr>
            <w:r w:rsidRPr="00D90A39">
              <w:rPr>
                <w:rFonts w:ascii="Arial" w:hAnsi="Arial" w:cs="Arial"/>
                <w:color w:val="000000"/>
                <w:sz w:val="20"/>
              </w:rPr>
              <w:t>25090</w:t>
            </w:r>
          </w:p>
        </w:tc>
        <w:tc>
          <w:tcPr>
            <w:tcW w:w="897" w:type="dxa"/>
            <w:vAlign w:val="center"/>
          </w:tcPr>
          <w:p w:rsidR="00B30272" w:rsidRPr="00D90A39" w:rsidRDefault="00B30272" w:rsidP="00356D89">
            <w:pPr>
              <w:jc w:val="center"/>
              <w:rPr>
                <w:rFonts w:ascii="Arial" w:hAnsi="Arial" w:cs="Arial"/>
                <w:color w:val="000000"/>
                <w:sz w:val="20"/>
                <w:lang w:eastAsia="ar-SA"/>
              </w:rPr>
            </w:pPr>
            <w:r w:rsidRPr="00D90A39">
              <w:rPr>
                <w:rFonts w:ascii="Arial" w:hAnsi="Arial" w:cs="Arial"/>
                <w:color w:val="000000"/>
                <w:sz w:val="20"/>
              </w:rPr>
              <w:t>26091</w:t>
            </w:r>
          </w:p>
        </w:tc>
        <w:tc>
          <w:tcPr>
            <w:tcW w:w="776" w:type="dxa"/>
            <w:vAlign w:val="center"/>
          </w:tcPr>
          <w:p w:rsidR="00B30272" w:rsidRPr="00D90A39" w:rsidRDefault="00B30272" w:rsidP="00356D89">
            <w:pPr>
              <w:jc w:val="center"/>
              <w:rPr>
                <w:rFonts w:ascii="Arial" w:hAnsi="Arial" w:cs="Arial"/>
                <w:color w:val="000000"/>
                <w:sz w:val="20"/>
                <w:lang w:eastAsia="ar-SA"/>
              </w:rPr>
            </w:pPr>
            <w:r w:rsidRPr="00D90A39">
              <w:rPr>
                <w:rFonts w:ascii="Arial" w:hAnsi="Arial" w:cs="Arial"/>
                <w:color w:val="000000"/>
                <w:sz w:val="20"/>
              </w:rPr>
              <w:t>27178</w:t>
            </w:r>
          </w:p>
        </w:tc>
        <w:tc>
          <w:tcPr>
            <w:tcW w:w="776" w:type="dxa"/>
            <w:vAlign w:val="center"/>
          </w:tcPr>
          <w:p w:rsidR="00B30272" w:rsidRPr="00D90A39" w:rsidRDefault="00B30272" w:rsidP="00356D89">
            <w:pPr>
              <w:jc w:val="center"/>
              <w:rPr>
                <w:rFonts w:ascii="Arial" w:hAnsi="Arial" w:cs="Arial"/>
                <w:color w:val="000000"/>
                <w:sz w:val="20"/>
                <w:lang w:eastAsia="ar-SA"/>
              </w:rPr>
            </w:pPr>
            <w:r w:rsidRPr="00D90A39">
              <w:rPr>
                <w:rFonts w:ascii="Arial" w:hAnsi="Arial" w:cs="Arial"/>
                <w:color w:val="000000"/>
                <w:sz w:val="20"/>
              </w:rPr>
              <w:t>27530</w:t>
            </w:r>
          </w:p>
        </w:tc>
        <w:tc>
          <w:tcPr>
            <w:tcW w:w="795" w:type="dxa"/>
            <w:vAlign w:val="center"/>
          </w:tcPr>
          <w:p w:rsidR="00B30272" w:rsidRPr="00D90A39" w:rsidRDefault="00B30272" w:rsidP="00356D89">
            <w:pPr>
              <w:jc w:val="center"/>
              <w:rPr>
                <w:rFonts w:ascii="Arial" w:hAnsi="Arial" w:cs="Arial"/>
                <w:color w:val="000000"/>
                <w:sz w:val="20"/>
                <w:lang w:eastAsia="ar-SA"/>
              </w:rPr>
            </w:pPr>
            <w:r w:rsidRPr="00D90A39">
              <w:rPr>
                <w:rFonts w:ascii="Arial" w:hAnsi="Arial" w:cs="Arial"/>
                <w:color w:val="000000"/>
                <w:sz w:val="20"/>
              </w:rPr>
              <w:t>27999</w:t>
            </w:r>
          </w:p>
        </w:tc>
        <w:tc>
          <w:tcPr>
            <w:tcW w:w="804" w:type="dxa"/>
            <w:vAlign w:val="center"/>
          </w:tcPr>
          <w:p w:rsidR="00B30272" w:rsidRPr="00D90A39" w:rsidRDefault="00B30272" w:rsidP="00356D89">
            <w:pPr>
              <w:jc w:val="center"/>
              <w:rPr>
                <w:rFonts w:ascii="Arial" w:hAnsi="Arial" w:cs="Arial"/>
                <w:color w:val="000000"/>
                <w:sz w:val="20"/>
                <w:lang w:eastAsia="ar-SA"/>
              </w:rPr>
            </w:pPr>
          </w:p>
        </w:tc>
      </w:tr>
    </w:tbl>
    <w:p w:rsidR="00B30272" w:rsidRDefault="00B30272" w:rsidP="00C8079E">
      <w:pPr>
        <w:ind w:left="720"/>
        <w:jc w:val="both"/>
        <w:rPr>
          <w:lang w:val="en-US"/>
        </w:rPr>
      </w:pPr>
    </w:p>
    <w:p w:rsidR="00B30272" w:rsidRPr="0007794E" w:rsidRDefault="00B30272" w:rsidP="00276B2E">
      <w:pPr>
        <w:ind w:left="720"/>
        <w:jc w:val="both"/>
        <w:rPr>
          <w:rFonts w:ascii="MyriadPro-Regular" w:hAnsi="MyriadPro-Regular" w:cs="MyriadPro-Regular"/>
          <w:i/>
          <w:lang w:val="en-US"/>
        </w:rPr>
      </w:pPr>
      <w:r>
        <w:rPr>
          <w:rFonts w:ascii="Times New Roman" w:hAnsi="Times New Roman"/>
          <w:sz w:val="24"/>
          <w:szCs w:val="24"/>
          <w:lang w:val="en-US"/>
        </w:rPr>
        <w:t xml:space="preserve">Table 2 shows the increasing numbers of teachers involved, and a greater </w:t>
      </w:r>
      <w:r w:rsidRPr="00C8079E">
        <w:rPr>
          <w:rFonts w:ascii="Times New Roman" w:hAnsi="Times New Roman"/>
          <w:sz w:val="24"/>
          <w:szCs w:val="24"/>
          <w:lang w:val="en-US"/>
        </w:rPr>
        <w:t xml:space="preserve"> </w:t>
      </w:r>
      <w:r>
        <w:rPr>
          <w:rFonts w:ascii="Times New Roman" w:hAnsi="Times New Roman"/>
          <w:sz w:val="24"/>
          <w:szCs w:val="24"/>
          <w:lang w:val="en-US"/>
        </w:rPr>
        <w:t>emphasi</w:t>
      </w:r>
      <w:r w:rsidRPr="00C8079E">
        <w:rPr>
          <w:rFonts w:ascii="Times New Roman" w:hAnsi="Times New Roman"/>
          <w:sz w:val="24"/>
          <w:szCs w:val="24"/>
          <w:lang w:val="en-US"/>
        </w:rPr>
        <w:t>s on clinical and supportive teaching compared to training workshops conducted in the period of 2004-2007.</w:t>
      </w:r>
      <w:r>
        <w:rPr>
          <w:rFonts w:ascii="Times New Roman" w:hAnsi="Times New Roman"/>
          <w:sz w:val="24"/>
          <w:szCs w:val="24"/>
          <w:lang w:val="en-US"/>
        </w:rPr>
        <w:t xml:space="preserve"> </w:t>
      </w:r>
      <w:r w:rsidRPr="0007794E">
        <w:rPr>
          <w:rFonts w:ascii="Times New Roman" w:hAnsi="Times New Roman"/>
          <w:sz w:val="24"/>
          <w:szCs w:val="24"/>
          <w:lang w:val="en-US"/>
        </w:rPr>
        <w:t>These increases may</w:t>
      </w:r>
      <w:r w:rsidR="00D2281A">
        <w:rPr>
          <w:rFonts w:ascii="Times New Roman" w:hAnsi="Times New Roman"/>
          <w:sz w:val="24"/>
          <w:szCs w:val="24"/>
          <w:lang w:val="en-US"/>
        </w:rPr>
        <w:t xml:space="preserve"> at least in part</w:t>
      </w:r>
      <w:r w:rsidRPr="0007794E">
        <w:rPr>
          <w:rFonts w:ascii="Times New Roman" w:hAnsi="Times New Roman"/>
          <w:sz w:val="24"/>
          <w:szCs w:val="24"/>
          <w:lang w:val="en-US"/>
        </w:rPr>
        <w:t xml:space="preserve"> be attributed to the development of the TESP</w:t>
      </w:r>
      <w:r w:rsidR="00D2281A">
        <w:rPr>
          <w:rFonts w:ascii="Times New Roman" w:hAnsi="Times New Roman"/>
          <w:sz w:val="24"/>
          <w:szCs w:val="24"/>
          <w:lang w:val="en-US"/>
        </w:rPr>
        <w:t>.</w:t>
      </w:r>
    </w:p>
    <w:p w:rsidR="00B30272" w:rsidRDefault="00B30272" w:rsidP="000B6119">
      <w:pPr>
        <w:autoSpaceDE w:val="0"/>
        <w:autoSpaceDN w:val="0"/>
        <w:adjustRightInd w:val="0"/>
        <w:jc w:val="both"/>
        <w:rPr>
          <w:rFonts w:ascii="Times New Roman" w:hAnsi="Times New Roman"/>
          <w:sz w:val="24"/>
          <w:szCs w:val="24"/>
          <w:lang w:val="en-US"/>
        </w:rPr>
      </w:pPr>
      <w:r w:rsidRPr="00551BC6">
        <w:rPr>
          <w:rFonts w:ascii="Times New Roman" w:hAnsi="Times New Roman"/>
          <w:sz w:val="24"/>
          <w:szCs w:val="24"/>
          <w:lang w:val="en-US"/>
        </w:rPr>
        <w:lastRenderedPageBreak/>
        <w:t xml:space="preserve">NIET has previously focused on training for school principals, and a professional diploma in school leadership </w:t>
      </w:r>
      <w:r w:rsidR="00D2281A">
        <w:rPr>
          <w:rFonts w:ascii="Times New Roman" w:hAnsi="Times New Roman"/>
          <w:sz w:val="24"/>
          <w:szCs w:val="24"/>
          <w:lang w:val="en-US"/>
        </w:rPr>
        <w:t>w</w:t>
      </w:r>
      <w:r w:rsidRPr="00551BC6">
        <w:rPr>
          <w:rFonts w:ascii="Times New Roman" w:hAnsi="Times New Roman"/>
          <w:sz w:val="24"/>
          <w:szCs w:val="24"/>
          <w:lang w:val="en-US"/>
        </w:rPr>
        <w:t xml:space="preserve">as developed.  </w:t>
      </w:r>
      <w:r w:rsidR="00BF783C">
        <w:rPr>
          <w:rFonts w:ascii="Times New Roman" w:hAnsi="Times New Roman"/>
          <w:sz w:val="24"/>
          <w:szCs w:val="24"/>
          <w:lang w:val="en-US"/>
        </w:rPr>
        <w:t xml:space="preserve">NIET </w:t>
      </w:r>
      <w:r w:rsidR="00FA4FF5">
        <w:rPr>
          <w:rFonts w:ascii="Times New Roman" w:hAnsi="Times New Roman"/>
          <w:sz w:val="24"/>
          <w:szCs w:val="24"/>
          <w:lang w:val="en-US"/>
        </w:rPr>
        <w:t>has,</w:t>
      </w:r>
      <w:r w:rsidR="005A3EAB">
        <w:rPr>
          <w:rFonts w:ascii="Times New Roman" w:hAnsi="Times New Roman"/>
          <w:sz w:val="24"/>
          <w:szCs w:val="24"/>
          <w:lang w:val="en-US"/>
        </w:rPr>
        <w:t xml:space="preserve"> as discussed earlier, </w:t>
      </w:r>
      <w:r w:rsidRPr="00551BC6">
        <w:rPr>
          <w:rFonts w:ascii="Times New Roman" w:hAnsi="Times New Roman"/>
          <w:sz w:val="24"/>
          <w:szCs w:val="24"/>
          <w:lang w:val="en-US"/>
        </w:rPr>
        <w:t xml:space="preserve">  </w:t>
      </w:r>
      <w:r w:rsidR="005A3EAB">
        <w:rPr>
          <w:rFonts w:ascii="Times New Roman" w:hAnsi="Times New Roman"/>
          <w:sz w:val="24"/>
          <w:szCs w:val="24"/>
          <w:lang w:val="en-US"/>
        </w:rPr>
        <w:t>been tasked to co-ordinate</w:t>
      </w:r>
      <w:r w:rsidRPr="00551BC6">
        <w:rPr>
          <w:rFonts w:ascii="Times New Roman" w:hAnsi="Times New Roman"/>
          <w:sz w:val="24"/>
          <w:szCs w:val="24"/>
          <w:lang w:val="en-US"/>
        </w:rPr>
        <w:t xml:space="preserve"> the </w:t>
      </w:r>
      <w:r w:rsidR="00D2281A">
        <w:rPr>
          <w:rFonts w:ascii="Times New Roman" w:hAnsi="Times New Roman"/>
          <w:sz w:val="24"/>
          <w:szCs w:val="24"/>
          <w:lang w:val="en-US"/>
        </w:rPr>
        <w:t xml:space="preserve">further </w:t>
      </w:r>
      <w:r w:rsidRPr="00551BC6">
        <w:rPr>
          <w:rFonts w:ascii="Times New Roman" w:hAnsi="Times New Roman"/>
          <w:sz w:val="24"/>
          <w:szCs w:val="24"/>
          <w:lang w:val="en-US"/>
        </w:rPr>
        <w:t>development of training for under-qualified teachers</w:t>
      </w:r>
      <w:r w:rsidR="00FA4FF5">
        <w:rPr>
          <w:rFonts w:ascii="Times New Roman" w:hAnsi="Times New Roman"/>
          <w:sz w:val="24"/>
          <w:szCs w:val="24"/>
          <w:lang w:val="en-US"/>
        </w:rPr>
        <w:t xml:space="preserve"> but its status is still undergoing transition (USAID, 2010)</w:t>
      </w:r>
      <w:r w:rsidR="005A3EAB">
        <w:rPr>
          <w:rFonts w:ascii="Times New Roman" w:hAnsi="Times New Roman"/>
          <w:sz w:val="24"/>
          <w:szCs w:val="24"/>
          <w:lang w:val="en-US"/>
        </w:rPr>
        <w:t>.</w:t>
      </w:r>
    </w:p>
    <w:p w:rsidR="00F3342C" w:rsidRDefault="00F3342C" w:rsidP="00F3342C">
      <w:pPr>
        <w:jc w:val="both"/>
        <w:rPr>
          <w:rFonts w:ascii="Times New Roman" w:hAnsi="Times New Roman"/>
          <w:sz w:val="24"/>
          <w:szCs w:val="24"/>
          <w:lang w:val="en-US"/>
        </w:rPr>
      </w:pPr>
      <w:r>
        <w:rPr>
          <w:rFonts w:ascii="Times New Roman" w:hAnsi="Times New Roman"/>
          <w:sz w:val="24"/>
          <w:szCs w:val="24"/>
        </w:rPr>
        <w:t>General e</w:t>
      </w:r>
      <w:r w:rsidRPr="0089783A">
        <w:rPr>
          <w:rFonts w:ascii="Times New Roman" w:hAnsi="Times New Roman"/>
          <w:sz w:val="24"/>
          <w:szCs w:val="24"/>
        </w:rPr>
        <w:t>xamples of the</w:t>
      </w:r>
      <w:r>
        <w:rPr>
          <w:rFonts w:ascii="Times New Roman" w:hAnsi="Times New Roman"/>
          <w:sz w:val="24"/>
          <w:szCs w:val="24"/>
        </w:rPr>
        <w:t xml:space="preserve"> wide spectrum of in-service training activities</w:t>
      </w:r>
      <w:r w:rsidRPr="0089783A">
        <w:rPr>
          <w:rFonts w:ascii="Times New Roman" w:hAnsi="Times New Roman"/>
          <w:sz w:val="24"/>
          <w:szCs w:val="24"/>
        </w:rPr>
        <w:t xml:space="preserve"> </w:t>
      </w:r>
      <w:r w:rsidR="00116779">
        <w:rPr>
          <w:rFonts w:ascii="Times New Roman" w:hAnsi="Times New Roman"/>
          <w:sz w:val="24"/>
          <w:szCs w:val="24"/>
        </w:rPr>
        <w:t xml:space="preserve">that are donor funded and overseen by the MOEHE </w:t>
      </w:r>
      <w:r w:rsidRPr="0089783A">
        <w:rPr>
          <w:rFonts w:ascii="Times New Roman" w:hAnsi="Times New Roman"/>
          <w:sz w:val="24"/>
          <w:szCs w:val="24"/>
        </w:rPr>
        <w:t>include</w:t>
      </w:r>
      <w:r>
        <w:rPr>
          <w:rFonts w:ascii="Times New Roman" w:hAnsi="Times New Roman"/>
          <w:sz w:val="24"/>
          <w:szCs w:val="24"/>
        </w:rPr>
        <w:t xml:space="preserve"> </w:t>
      </w:r>
      <w:r w:rsidRPr="0089783A">
        <w:rPr>
          <w:rFonts w:ascii="Times New Roman" w:hAnsi="Times New Roman"/>
          <w:sz w:val="24"/>
          <w:szCs w:val="24"/>
        </w:rPr>
        <w:t xml:space="preserve">the </w:t>
      </w:r>
      <w:r>
        <w:rPr>
          <w:rFonts w:ascii="Times New Roman" w:hAnsi="Times New Roman"/>
          <w:sz w:val="24"/>
          <w:szCs w:val="24"/>
        </w:rPr>
        <w:t>World Bank Teacher Education Improvement Plan (</w:t>
      </w:r>
      <w:r w:rsidRPr="0089783A">
        <w:rPr>
          <w:rFonts w:ascii="Times New Roman" w:hAnsi="Times New Roman"/>
          <w:sz w:val="24"/>
          <w:szCs w:val="24"/>
        </w:rPr>
        <w:t>TEIP</w:t>
      </w:r>
      <w:r>
        <w:rPr>
          <w:rFonts w:ascii="Times New Roman" w:hAnsi="Times New Roman"/>
          <w:sz w:val="24"/>
          <w:szCs w:val="24"/>
        </w:rPr>
        <w:t>)</w:t>
      </w:r>
      <w:r w:rsidRPr="0089783A">
        <w:rPr>
          <w:rFonts w:ascii="Times New Roman" w:hAnsi="Times New Roman"/>
          <w:sz w:val="24"/>
          <w:szCs w:val="24"/>
        </w:rPr>
        <w:t>,</w:t>
      </w:r>
      <w:r>
        <w:rPr>
          <w:rFonts w:ascii="Times New Roman" w:hAnsi="Times New Roman"/>
          <w:sz w:val="24"/>
          <w:szCs w:val="24"/>
        </w:rPr>
        <w:t xml:space="preserve"> </w:t>
      </w:r>
      <w:r w:rsidRPr="0089783A">
        <w:rPr>
          <w:rFonts w:ascii="Times New Roman" w:hAnsi="Times New Roman"/>
          <w:sz w:val="24"/>
          <w:szCs w:val="24"/>
        </w:rPr>
        <w:t xml:space="preserve"> part of which is aimed at up-skilling under qualified teachers currently in service; Quality of Education for All, a </w:t>
      </w:r>
      <w:r w:rsidR="008A155F">
        <w:rPr>
          <w:rFonts w:ascii="Times New Roman" w:hAnsi="Times New Roman"/>
          <w:sz w:val="24"/>
          <w:szCs w:val="24"/>
        </w:rPr>
        <w:t xml:space="preserve">partnership </w:t>
      </w:r>
      <w:r w:rsidRPr="0089783A">
        <w:rPr>
          <w:rFonts w:ascii="Times New Roman" w:hAnsi="Times New Roman"/>
          <w:sz w:val="24"/>
          <w:szCs w:val="24"/>
        </w:rPr>
        <w:t xml:space="preserve">programme funded by a Spanish NGO in collaboration with Bethlehem University, which aims to increase democratic participation and active learning in schools; the </w:t>
      </w:r>
      <w:r w:rsidR="008A155F">
        <w:rPr>
          <w:rFonts w:ascii="Times New Roman" w:hAnsi="Times New Roman"/>
          <w:sz w:val="24"/>
          <w:szCs w:val="24"/>
        </w:rPr>
        <w:t xml:space="preserve">Model </w:t>
      </w:r>
      <w:r w:rsidRPr="0089783A">
        <w:rPr>
          <w:rFonts w:ascii="Times New Roman" w:hAnsi="Times New Roman"/>
          <w:sz w:val="24"/>
          <w:szCs w:val="24"/>
        </w:rPr>
        <w:t>Schools Network, funded by USAID and administered by AIMDEAST</w:t>
      </w:r>
      <w:r>
        <w:rPr>
          <w:rFonts w:ascii="Times New Roman" w:hAnsi="Times New Roman"/>
          <w:sz w:val="24"/>
          <w:szCs w:val="24"/>
        </w:rPr>
        <w:t xml:space="preserve"> as well as the British Council English School Partnerships program that focuses on teachers of English</w:t>
      </w:r>
      <w:r w:rsidRPr="0089783A">
        <w:rPr>
          <w:rFonts w:ascii="Times New Roman" w:hAnsi="Times New Roman"/>
          <w:sz w:val="24"/>
          <w:szCs w:val="24"/>
        </w:rPr>
        <w:t>.</w:t>
      </w:r>
      <w:r w:rsidR="00116779">
        <w:rPr>
          <w:rFonts w:ascii="Times New Roman" w:hAnsi="Times New Roman"/>
          <w:sz w:val="24"/>
          <w:szCs w:val="24"/>
        </w:rPr>
        <w:t xml:space="preserve"> </w:t>
      </w:r>
    </w:p>
    <w:p w:rsidR="0007794E" w:rsidRPr="0007794E" w:rsidRDefault="0007794E" w:rsidP="00A77C70">
      <w:pPr>
        <w:autoSpaceDE w:val="0"/>
        <w:autoSpaceDN w:val="0"/>
        <w:adjustRightInd w:val="0"/>
        <w:jc w:val="both"/>
        <w:rPr>
          <w:rFonts w:ascii="Times New Roman" w:hAnsi="Times New Roman"/>
          <w:i/>
          <w:sz w:val="24"/>
          <w:szCs w:val="24"/>
          <w:lang w:val="en-US"/>
        </w:rPr>
      </w:pPr>
      <w:r w:rsidRPr="0007794E">
        <w:rPr>
          <w:rFonts w:ascii="Times New Roman" w:hAnsi="Times New Roman"/>
          <w:i/>
          <w:sz w:val="24"/>
          <w:szCs w:val="24"/>
          <w:lang w:val="en-US"/>
        </w:rPr>
        <w:t xml:space="preserve">Specific examples of </w:t>
      </w:r>
      <w:r w:rsidR="001D05F8">
        <w:rPr>
          <w:rFonts w:ascii="Times New Roman" w:hAnsi="Times New Roman"/>
          <w:i/>
          <w:sz w:val="24"/>
          <w:szCs w:val="24"/>
          <w:lang w:val="en-US"/>
        </w:rPr>
        <w:t>donor</w:t>
      </w:r>
      <w:r w:rsidR="000B6119" w:rsidRPr="0007794E">
        <w:rPr>
          <w:rFonts w:ascii="Times New Roman" w:hAnsi="Times New Roman"/>
          <w:i/>
          <w:sz w:val="24"/>
          <w:szCs w:val="24"/>
          <w:lang w:val="en-US"/>
        </w:rPr>
        <w:t xml:space="preserve"> funded in-service teacher </w:t>
      </w:r>
      <w:r w:rsidR="00147E8D" w:rsidRPr="0007794E">
        <w:rPr>
          <w:rFonts w:ascii="Times New Roman" w:hAnsi="Times New Roman"/>
          <w:i/>
          <w:sz w:val="24"/>
          <w:szCs w:val="24"/>
          <w:lang w:val="en-US"/>
        </w:rPr>
        <w:t>training program</w:t>
      </w:r>
      <w:r w:rsidR="001D05F8">
        <w:rPr>
          <w:rFonts w:ascii="Times New Roman" w:hAnsi="Times New Roman"/>
          <w:i/>
          <w:sz w:val="24"/>
          <w:szCs w:val="24"/>
          <w:lang w:val="en-US"/>
        </w:rPr>
        <w:t>mes</w:t>
      </w:r>
      <w:r w:rsidR="000B6119" w:rsidRPr="0007794E">
        <w:rPr>
          <w:rFonts w:ascii="Times New Roman" w:hAnsi="Times New Roman"/>
          <w:i/>
          <w:sz w:val="24"/>
          <w:szCs w:val="24"/>
          <w:lang w:val="en-US"/>
        </w:rPr>
        <w:t xml:space="preserve"> that </w:t>
      </w:r>
      <w:r w:rsidR="001D05F8">
        <w:rPr>
          <w:rFonts w:ascii="Times New Roman" w:hAnsi="Times New Roman"/>
          <w:i/>
          <w:sz w:val="24"/>
          <w:szCs w:val="24"/>
          <w:lang w:val="en-US"/>
        </w:rPr>
        <w:t>are</w:t>
      </w:r>
      <w:r w:rsidR="000B6119" w:rsidRPr="0007794E">
        <w:rPr>
          <w:rFonts w:ascii="Times New Roman" w:hAnsi="Times New Roman"/>
          <w:i/>
          <w:sz w:val="24"/>
          <w:szCs w:val="24"/>
          <w:lang w:val="en-US"/>
        </w:rPr>
        <w:t xml:space="preserve"> overseen by th</w:t>
      </w:r>
      <w:r w:rsidRPr="0007794E">
        <w:rPr>
          <w:rFonts w:ascii="Times New Roman" w:hAnsi="Times New Roman"/>
          <w:i/>
          <w:sz w:val="24"/>
          <w:szCs w:val="24"/>
          <w:lang w:val="en-US"/>
        </w:rPr>
        <w:t>e Ministry of Education include the following:</w:t>
      </w:r>
    </w:p>
    <w:p w:rsidR="0007794E" w:rsidRPr="00D2281A" w:rsidRDefault="0007794E" w:rsidP="00D2281A">
      <w:pPr>
        <w:autoSpaceDE w:val="0"/>
        <w:autoSpaceDN w:val="0"/>
        <w:adjustRightInd w:val="0"/>
        <w:ind w:left="360"/>
        <w:jc w:val="both"/>
        <w:rPr>
          <w:rFonts w:ascii="Times New Roman" w:hAnsi="Times New Roman"/>
          <w:sz w:val="24"/>
          <w:szCs w:val="24"/>
          <w:lang w:val="en-US"/>
        </w:rPr>
      </w:pPr>
      <w:r w:rsidRPr="00D2281A">
        <w:rPr>
          <w:rFonts w:ascii="Times New Roman" w:hAnsi="Times New Roman"/>
          <w:b/>
          <w:sz w:val="24"/>
          <w:szCs w:val="24"/>
        </w:rPr>
        <w:t>The Teacher Education Improvement Plan (TEIP):</w:t>
      </w:r>
      <w:r w:rsidRPr="00D2281A">
        <w:rPr>
          <w:rFonts w:ascii="Times New Roman" w:hAnsi="Times New Roman"/>
          <w:sz w:val="24"/>
          <w:szCs w:val="24"/>
        </w:rPr>
        <w:t xml:space="preserve"> In support of the Teacher Education Strategy the World Bank funded a Teacher Improvement Project (TEIP) with two component parts: </w:t>
      </w:r>
      <w:r w:rsidR="00BF783C" w:rsidRPr="00D2281A">
        <w:rPr>
          <w:rFonts w:ascii="Times New Roman" w:hAnsi="Times New Roman"/>
          <w:sz w:val="24"/>
          <w:szCs w:val="24"/>
        </w:rPr>
        <w:t>C</w:t>
      </w:r>
      <w:r w:rsidRPr="00D2281A">
        <w:rPr>
          <w:rFonts w:ascii="Times New Roman" w:hAnsi="Times New Roman"/>
          <w:sz w:val="24"/>
          <w:szCs w:val="24"/>
        </w:rPr>
        <w:t>omponent 1 aims at improving the quality and relevance of the school experience component of teacher education and component 2 is to provide programmes for the upgrading the estimated 75% of under-qualified teachers in the system (Burke &amp; Cuadra, 2013).</w:t>
      </w:r>
      <w:r w:rsidR="00F3342C" w:rsidRPr="00D2281A">
        <w:rPr>
          <w:rFonts w:ascii="Times New Roman" w:hAnsi="Times New Roman"/>
          <w:sz w:val="24"/>
          <w:szCs w:val="24"/>
        </w:rPr>
        <w:t xml:space="preserve"> Component </w:t>
      </w:r>
      <w:r w:rsidR="00BF783C" w:rsidRPr="00D2281A">
        <w:rPr>
          <w:rFonts w:ascii="Times New Roman" w:hAnsi="Times New Roman"/>
          <w:sz w:val="24"/>
          <w:szCs w:val="24"/>
        </w:rPr>
        <w:t xml:space="preserve">1 </w:t>
      </w:r>
      <w:r w:rsidR="00F3342C" w:rsidRPr="00D2281A">
        <w:rPr>
          <w:rFonts w:ascii="Times New Roman" w:hAnsi="Times New Roman"/>
          <w:sz w:val="24"/>
          <w:szCs w:val="24"/>
        </w:rPr>
        <w:t xml:space="preserve">now has an extended and more up-to-date reaching </w:t>
      </w:r>
      <w:r w:rsidR="00116779">
        <w:rPr>
          <w:rFonts w:ascii="Times New Roman" w:hAnsi="Times New Roman"/>
          <w:sz w:val="24"/>
          <w:szCs w:val="24"/>
        </w:rPr>
        <w:t>te</w:t>
      </w:r>
      <w:r w:rsidR="008A155F">
        <w:rPr>
          <w:rFonts w:ascii="Times New Roman" w:hAnsi="Times New Roman"/>
          <w:sz w:val="24"/>
          <w:szCs w:val="24"/>
        </w:rPr>
        <w:t>a</w:t>
      </w:r>
      <w:r w:rsidR="00116779">
        <w:rPr>
          <w:rFonts w:ascii="Times New Roman" w:hAnsi="Times New Roman"/>
          <w:sz w:val="24"/>
          <w:szCs w:val="24"/>
        </w:rPr>
        <w:t xml:space="preserve">ching </w:t>
      </w:r>
      <w:r w:rsidR="00F3342C" w:rsidRPr="00D2281A">
        <w:rPr>
          <w:rFonts w:ascii="Times New Roman" w:hAnsi="Times New Roman"/>
          <w:sz w:val="24"/>
          <w:szCs w:val="24"/>
        </w:rPr>
        <w:t xml:space="preserve">practicum in place in the four participating universities and in-service capacity development opportunities focus on all involved in teacher preparation:  education faculty members in the participating universities, school principals, mentor teachers, practicum supervisors, ministry inspectors as well as ministry personnel who oversee and/or accredit teacher education programmes </w:t>
      </w:r>
      <w:r w:rsidR="0065295E" w:rsidRPr="00D2281A">
        <w:rPr>
          <w:rFonts w:ascii="Times New Roman" w:hAnsi="Times New Roman"/>
          <w:sz w:val="24"/>
          <w:szCs w:val="24"/>
        </w:rPr>
        <w:t>(</w:t>
      </w:r>
      <w:r w:rsidR="00F3342C" w:rsidRPr="00D2281A">
        <w:rPr>
          <w:rFonts w:ascii="Times New Roman" w:hAnsi="Times New Roman"/>
          <w:sz w:val="24"/>
          <w:szCs w:val="24"/>
        </w:rPr>
        <w:t xml:space="preserve">Burke &amp; Cuadra, 2013). </w:t>
      </w:r>
    </w:p>
    <w:p w:rsidR="00BF783C" w:rsidRPr="00D2281A" w:rsidRDefault="0007794E" w:rsidP="00D2281A">
      <w:pPr>
        <w:autoSpaceDE w:val="0"/>
        <w:autoSpaceDN w:val="0"/>
        <w:adjustRightInd w:val="0"/>
        <w:ind w:left="360"/>
        <w:jc w:val="both"/>
        <w:rPr>
          <w:rFonts w:ascii="Times New Roman" w:hAnsi="Times New Roman"/>
          <w:sz w:val="24"/>
          <w:szCs w:val="24"/>
        </w:rPr>
      </w:pPr>
      <w:r w:rsidRPr="00D2281A">
        <w:rPr>
          <w:rFonts w:ascii="Times New Roman" w:hAnsi="Times New Roman"/>
          <w:b/>
          <w:sz w:val="24"/>
          <w:szCs w:val="24"/>
          <w:lang w:val="en-US"/>
        </w:rPr>
        <w:t>P</w:t>
      </w:r>
      <w:r w:rsidR="00147E8D" w:rsidRPr="00D2281A">
        <w:rPr>
          <w:rFonts w:ascii="Times New Roman" w:hAnsi="Times New Roman"/>
          <w:b/>
          <w:sz w:val="24"/>
          <w:szCs w:val="24"/>
          <w:lang w:val="en-US"/>
        </w:rPr>
        <w:t>rogram</w:t>
      </w:r>
      <w:r w:rsidR="0065295E" w:rsidRPr="00D2281A">
        <w:rPr>
          <w:rFonts w:ascii="Times New Roman" w:hAnsi="Times New Roman"/>
          <w:b/>
          <w:sz w:val="24"/>
          <w:szCs w:val="24"/>
          <w:lang w:val="en-US"/>
        </w:rPr>
        <w:t>mes</w:t>
      </w:r>
      <w:r w:rsidR="00147E8D" w:rsidRPr="00D2281A">
        <w:rPr>
          <w:rFonts w:ascii="Times New Roman" w:hAnsi="Times New Roman"/>
          <w:b/>
          <w:sz w:val="24"/>
          <w:szCs w:val="24"/>
          <w:lang w:val="en-US"/>
        </w:rPr>
        <w:t xml:space="preserve"> for teachers of Eng</w:t>
      </w:r>
      <w:r w:rsidRPr="00D2281A">
        <w:rPr>
          <w:rFonts w:ascii="Times New Roman" w:hAnsi="Times New Roman"/>
          <w:b/>
          <w:sz w:val="24"/>
          <w:szCs w:val="24"/>
          <w:lang w:val="en-US"/>
        </w:rPr>
        <w:t>lish in public and UNWRA school</w:t>
      </w:r>
      <w:r w:rsidR="00F3342C" w:rsidRPr="00D2281A">
        <w:rPr>
          <w:rFonts w:ascii="Times New Roman" w:hAnsi="Times New Roman"/>
          <w:b/>
          <w:sz w:val="24"/>
          <w:szCs w:val="24"/>
          <w:lang w:val="en-US"/>
        </w:rPr>
        <w:t>s</w:t>
      </w:r>
      <w:r w:rsidRPr="00D2281A">
        <w:rPr>
          <w:rFonts w:ascii="Times New Roman" w:hAnsi="Times New Roman"/>
          <w:b/>
          <w:sz w:val="24"/>
          <w:szCs w:val="24"/>
          <w:lang w:val="en-US"/>
        </w:rPr>
        <w:t>:</w:t>
      </w:r>
      <w:r w:rsidR="00A77C70" w:rsidRPr="00D2281A">
        <w:rPr>
          <w:rFonts w:ascii="Times New Roman" w:hAnsi="Times New Roman"/>
          <w:sz w:val="24"/>
          <w:szCs w:val="24"/>
          <w:lang w:val="en-US"/>
        </w:rPr>
        <w:t xml:space="preserve"> </w:t>
      </w:r>
      <w:r w:rsidR="00147E8D" w:rsidRPr="00D2281A">
        <w:rPr>
          <w:rFonts w:ascii="Times New Roman" w:hAnsi="Times New Roman"/>
          <w:sz w:val="24"/>
          <w:szCs w:val="24"/>
        </w:rPr>
        <w:t xml:space="preserve">Teachers of English in Palestinian schools are typically graduates of English literature or language degree programmes or may be graduates in another subject but because they have some capability in English language are required to teach it as a subject at school.  Consequently, many teachers of English have received little if any formal training in the teaching of English while studying at university.  In such circumstances, teachers often find that have to rely upon guidance from other teachers in their school and also come to depend heavily upon the Teacher’s Books that accompany the English for Palestine course books used in schools.  Over-reliance upon the course books may result in the adoption of a rather limited range of generic teaching strategies which tend to focus upon question and answer and choral response rather than more child-centred, interactive language teaching strategies.  Once they enter the profession, they may be required to attend district based in-service teacher training courses or workshops organised by the Directorate of Supervision and Qualifications (DSQ) and conducted by Ministry supervisors.  Although the focus of these workshops is often upon the adoption of </w:t>
      </w:r>
      <w:r w:rsidR="00147E8D" w:rsidRPr="00D2281A">
        <w:rPr>
          <w:rFonts w:ascii="Times New Roman" w:hAnsi="Times New Roman"/>
          <w:sz w:val="24"/>
          <w:szCs w:val="24"/>
        </w:rPr>
        <w:lastRenderedPageBreak/>
        <w:t>communicative language teaching strategies, it appears that many teachers find it difficult to implement these in the classroom.</w:t>
      </w:r>
      <w:r w:rsidR="00F3342C" w:rsidRPr="00D2281A">
        <w:rPr>
          <w:rFonts w:ascii="Times New Roman" w:hAnsi="Times New Roman"/>
          <w:sz w:val="24"/>
          <w:szCs w:val="24"/>
        </w:rPr>
        <w:t xml:space="preserve"> </w:t>
      </w:r>
    </w:p>
    <w:p w:rsidR="00BF783C" w:rsidRDefault="00147E8D" w:rsidP="00A03D0C">
      <w:pPr>
        <w:autoSpaceDE w:val="0"/>
        <w:autoSpaceDN w:val="0"/>
        <w:adjustRightInd w:val="0"/>
        <w:ind w:left="360"/>
        <w:jc w:val="both"/>
        <w:rPr>
          <w:rFonts w:ascii="Times New Roman" w:hAnsi="Times New Roman"/>
          <w:sz w:val="24"/>
          <w:szCs w:val="24"/>
        </w:rPr>
      </w:pPr>
      <w:r w:rsidRPr="00A03D0C">
        <w:rPr>
          <w:rFonts w:ascii="Times New Roman" w:hAnsi="Times New Roman"/>
          <w:sz w:val="24"/>
          <w:szCs w:val="24"/>
        </w:rPr>
        <w:t xml:space="preserve">In addition to the courses offered by DSQ, which are organised in similar ways to the courses described previously, during the period 2005 - 2013 there was a steady increase in opportunities for teachers to attend  a variety of short English language teaching (ELT) courses provided by a number of other organisations.  Many of these courses have been organised by </w:t>
      </w:r>
      <w:r w:rsidR="00BF783C" w:rsidRPr="00A03D0C">
        <w:rPr>
          <w:rFonts w:ascii="Times New Roman" w:hAnsi="Times New Roman"/>
          <w:sz w:val="24"/>
          <w:szCs w:val="24"/>
        </w:rPr>
        <w:t>i</w:t>
      </w:r>
      <w:r w:rsidRPr="00A03D0C">
        <w:rPr>
          <w:rFonts w:ascii="Times New Roman" w:hAnsi="Times New Roman"/>
          <w:sz w:val="24"/>
          <w:szCs w:val="24"/>
        </w:rPr>
        <w:t xml:space="preserve">nternational bodies including the British Council, Macmillan Publishers, AMIDEAST, USAID, General Electric Foundation, and Boeing.   These courses have been made available for teachers in </w:t>
      </w:r>
      <w:r w:rsidR="008A155F">
        <w:rPr>
          <w:rFonts w:ascii="Times New Roman" w:hAnsi="Times New Roman"/>
          <w:sz w:val="24"/>
          <w:szCs w:val="24"/>
        </w:rPr>
        <w:t>public</w:t>
      </w:r>
      <w:r w:rsidRPr="00A03D0C">
        <w:rPr>
          <w:rFonts w:ascii="Times New Roman" w:hAnsi="Times New Roman"/>
          <w:sz w:val="24"/>
          <w:szCs w:val="24"/>
        </w:rPr>
        <w:t xml:space="preserve">, private and UNRWA schools in both the West Bank and Gaza and typically take the form of 1 to 5 day workshops that are delivered on a district basis.   </w:t>
      </w:r>
    </w:p>
    <w:p w:rsidR="00B57C4B" w:rsidRDefault="00147E8D" w:rsidP="00A03D0C">
      <w:pPr>
        <w:autoSpaceDE w:val="0"/>
        <w:autoSpaceDN w:val="0"/>
        <w:adjustRightInd w:val="0"/>
        <w:ind w:left="360"/>
        <w:jc w:val="both"/>
        <w:rPr>
          <w:rFonts w:ascii="Times New Roman" w:hAnsi="Times New Roman"/>
          <w:sz w:val="24"/>
          <w:szCs w:val="24"/>
        </w:rPr>
      </w:pPr>
      <w:r w:rsidRPr="00A03D0C">
        <w:rPr>
          <w:rFonts w:ascii="Times New Roman" w:hAnsi="Times New Roman"/>
          <w:sz w:val="24"/>
          <w:szCs w:val="24"/>
        </w:rPr>
        <w:t>The British Council has been particularly active in providing such courses and workshops, mainly for government teachers, but also for teachers from private and UNRWA schools.  Most of the British Council courses are in the region of 30 hours, but they also conduct one day workshops as well as longer courses.   The courses and workshops have focused on a wide range of areas of need including language improvement, classroom management, the teaching of language skills, lesson planning, assessment and evaluation and learning technologies.  In addition, the British Council have also provided a number of Trainer Development Courses.  These are normally delivered through a cascade mode to mixed groups of supervisors from DSQ and UNRWA and teachers in government and UNRWA schools. For example between 2009-2011, the British Council provided a two phase programme of training with the first phase designed to develop the training capacity of MOEHE and UNRWA supervisors</w:t>
      </w:r>
      <w:r w:rsidR="00B57C4B">
        <w:rPr>
          <w:rFonts w:ascii="Times New Roman" w:hAnsi="Times New Roman"/>
          <w:sz w:val="24"/>
          <w:szCs w:val="24"/>
        </w:rPr>
        <w:t>,</w:t>
      </w:r>
      <w:r w:rsidRPr="00A03D0C">
        <w:rPr>
          <w:rFonts w:ascii="Times New Roman" w:hAnsi="Times New Roman"/>
          <w:sz w:val="24"/>
          <w:szCs w:val="24"/>
        </w:rPr>
        <w:t xml:space="preserve"> and the second and third phase involving the British Council staff supporting Ministry supervisors to train experienced teachers.  The idea was that these teachers would then train teachers in their schools.  In the period 2010 – 2013, the British Council also trained mixed groups of teachers and trainers from all 16 West Bank Districts.  British Council trainers also try to visit as many of the training groups as possible and provide feedback to local trainers in location.  The third main type of in-service training that the British Council has been involved in is to support teachers to develop skills to adopt interactive child centred approaches to teaching the English for Palestine textbooks.  In 2006 and 2007, the British Council conducted five day workshops in six districts of the West Bank to support teaching of the 1</w:t>
      </w:r>
      <w:r w:rsidRPr="00A03D0C">
        <w:rPr>
          <w:rFonts w:ascii="Times New Roman" w:hAnsi="Times New Roman"/>
          <w:sz w:val="24"/>
          <w:szCs w:val="24"/>
          <w:vertAlign w:val="superscript"/>
        </w:rPr>
        <w:t>st</w:t>
      </w:r>
      <w:r w:rsidRPr="00A03D0C">
        <w:rPr>
          <w:rFonts w:ascii="Times New Roman" w:hAnsi="Times New Roman"/>
          <w:sz w:val="24"/>
          <w:szCs w:val="24"/>
        </w:rPr>
        <w:t xml:space="preserve"> edition of the English for Palestine textbooks for grade 6 – 9.  </w:t>
      </w:r>
    </w:p>
    <w:p w:rsidR="00D2281A" w:rsidRDefault="00A77C70" w:rsidP="00D2281A">
      <w:pPr>
        <w:ind w:left="360"/>
        <w:jc w:val="both"/>
        <w:rPr>
          <w:rFonts w:ascii="Times New Roman" w:hAnsi="Times New Roman"/>
          <w:sz w:val="24"/>
          <w:szCs w:val="24"/>
        </w:rPr>
      </w:pPr>
      <w:r w:rsidRPr="00D2281A">
        <w:rPr>
          <w:rFonts w:ascii="Times New Roman" w:hAnsi="Times New Roman"/>
          <w:sz w:val="24"/>
          <w:szCs w:val="24"/>
        </w:rPr>
        <w:t>Macmillan Publishers ha</w:t>
      </w:r>
      <w:r w:rsidR="00B57C4B" w:rsidRPr="00D2281A">
        <w:rPr>
          <w:rFonts w:ascii="Times New Roman" w:hAnsi="Times New Roman"/>
          <w:sz w:val="24"/>
          <w:szCs w:val="24"/>
        </w:rPr>
        <w:t>s</w:t>
      </w:r>
      <w:r w:rsidRPr="00D2281A">
        <w:rPr>
          <w:rFonts w:ascii="Times New Roman" w:hAnsi="Times New Roman"/>
          <w:sz w:val="24"/>
          <w:szCs w:val="24"/>
        </w:rPr>
        <w:t xml:space="preserve"> also played a significant role in recent years by conducting series of cascade training workshops to support the </w:t>
      </w:r>
      <w:r w:rsidR="002C19B1" w:rsidRPr="00D2281A">
        <w:rPr>
          <w:rFonts w:ascii="Times New Roman" w:hAnsi="Times New Roman"/>
          <w:sz w:val="24"/>
          <w:szCs w:val="24"/>
        </w:rPr>
        <w:t>on-going</w:t>
      </w:r>
      <w:r w:rsidRPr="00D2281A">
        <w:rPr>
          <w:rFonts w:ascii="Times New Roman" w:hAnsi="Times New Roman"/>
          <w:sz w:val="24"/>
          <w:szCs w:val="24"/>
        </w:rPr>
        <w:t xml:space="preserve"> implementation of the revised English for Palestine textbooks for the English curriculum in schools.   These took place in September 2011 for teachers of grades 1 – 4, August – September 2012 for teachers of grade 5 and most recently in August 2013 for teachers of grades 6 – 9.  </w:t>
      </w:r>
    </w:p>
    <w:p w:rsidR="00B30272" w:rsidRPr="00D2281A" w:rsidRDefault="00815811" w:rsidP="00D2281A">
      <w:pPr>
        <w:pStyle w:val="ListParagraph"/>
        <w:numPr>
          <w:ilvl w:val="0"/>
          <w:numId w:val="1"/>
        </w:numPr>
        <w:jc w:val="both"/>
        <w:rPr>
          <w:rFonts w:ascii="Times New Roman" w:hAnsi="Times New Roman"/>
          <w:sz w:val="24"/>
          <w:szCs w:val="24"/>
        </w:rPr>
      </w:pPr>
      <w:r w:rsidRPr="00D2281A">
        <w:rPr>
          <w:rFonts w:ascii="Times New Roman" w:hAnsi="Times New Roman"/>
          <w:b/>
          <w:sz w:val="24"/>
          <w:szCs w:val="24"/>
        </w:rPr>
        <w:t>Methodological framework for training programmes</w:t>
      </w:r>
      <w:r w:rsidR="00B30272" w:rsidRPr="00D2281A">
        <w:rPr>
          <w:rFonts w:ascii="Times New Roman" w:hAnsi="Times New Roman"/>
          <w:sz w:val="24"/>
          <w:szCs w:val="24"/>
        </w:rPr>
        <w:t>.</w:t>
      </w:r>
    </w:p>
    <w:p w:rsidR="00B30272" w:rsidRPr="00C8079E" w:rsidRDefault="00B30272" w:rsidP="006B724A">
      <w:pPr>
        <w:jc w:val="both"/>
        <w:rPr>
          <w:rFonts w:ascii="Times New Roman" w:hAnsi="Times New Roman"/>
          <w:sz w:val="24"/>
          <w:szCs w:val="24"/>
          <w:lang w:val="en-US"/>
        </w:rPr>
      </w:pPr>
      <w:r w:rsidRPr="00A77C70">
        <w:rPr>
          <w:rFonts w:ascii="Times New Roman" w:hAnsi="Times New Roman"/>
          <w:sz w:val="24"/>
          <w:szCs w:val="24"/>
          <w:lang w:val="en-US"/>
        </w:rPr>
        <w:lastRenderedPageBreak/>
        <w:t>There are two main types of in-service teacher training</w:t>
      </w:r>
      <w:r w:rsidR="00815811">
        <w:rPr>
          <w:rFonts w:ascii="Times New Roman" w:hAnsi="Times New Roman"/>
          <w:sz w:val="24"/>
          <w:szCs w:val="24"/>
          <w:lang w:val="en-US"/>
        </w:rPr>
        <w:t xml:space="preserve"> programmes</w:t>
      </w:r>
      <w:r w:rsidR="00DE4071">
        <w:rPr>
          <w:rFonts w:ascii="Times New Roman" w:hAnsi="Times New Roman"/>
          <w:sz w:val="24"/>
          <w:szCs w:val="24"/>
          <w:lang w:val="en-US"/>
        </w:rPr>
        <w:t xml:space="preserve"> organized by the Ministry of Education</w:t>
      </w:r>
      <w:r w:rsidR="00E8355C">
        <w:rPr>
          <w:rFonts w:ascii="Times New Roman" w:hAnsi="Times New Roman"/>
          <w:sz w:val="24"/>
          <w:szCs w:val="24"/>
          <w:lang w:val="en-US"/>
        </w:rPr>
        <w:t>:</w:t>
      </w:r>
      <w:r w:rsidR="00DE4071">
        <w:rPr>
          <w:rFonts w:ascii="Times New Roman" w:hAnsi="Times New Roman"/>
          <w:sz w:val="24"/>
          <w:szCs w:val="24"/>
          <w:lang w:val="en-US"/>
        </w:rPr>
        <w:t xml:space="preserve"> </w:t>
      </w:r>
      <w:r w:rsidRPr="00A77C70">
        <w:rPr>
          <w:rFonts w:ascii="Times New Roman" w:hAnsi="Times New Roman"/>
          <w:sz w:val="24"/>
          <w:szCs w:val="24"/>
          <w:lang w:val="en-US"/>
        </w:rPr>
        <w:t xml:space="preserve"> central training and district training</w:t>
      </w:r>
      <w:r w:rsidR="00D2281A">
        <w:rPr>
          <w:rFonts w:ascii="Times New Roman" w:hAnsi="Times New Roman"/>
          <w:sz w:val="24"/>
          <w:szCs w:val="24"/>
          <w:lang w:val="en-US"/>
        </w:rPr>
        <w:t xml:space="preserve"> programmes</w:t>
      </w:r>
      <w:r w:rsidRPr="00A77C70">
        <w:rPr>
          <w:rFonts w:ascii="Times New Roman" w:hAnsi="Times New Roman"/>
          <w:sz w:val="24"/>
          <w:szCs w:val="24"/>
          <w:lang w:val="en-US"/>
        </w:rPr>
        <w:t xml:space="preserve">. The central training </w:t>
      </w:r>
      <w:r w:rsidR="00815811">
        <w:rPr>
          <w:rFonts w:ascii="Times New Roman" w:hAnsi="Times New Roman"/>
          <w:sz w:val="24"/>
          <w:szCs w:val="24"/>
          <w:lang w:val="en-US"/>
        </w:rPr>
        <w:t xml:space="preserve">is </w:t>
      </w:r>
      <w:r w:rsidRPr="00A77C70">
        <w:rPr>
          <w:rFonts w:ascii="Times New Roman" w:hAnsi="Times New Roman"/>
          <w:sz w:val="24"/>
          <w:szCs w:val="24"/>
          <w:lang w:val="en-US"/>
        </w:rPr>
        <w:t>held at the MOE, but the district training held at the directorate</w:t>
      </w:r>
      <w:r w:rsidR="00E8355C">
        <w:rPr>
          <w:rFonts w:ascii="Times New Roman" w:hAnsi="Times New Roman"/>
          <w:sz w:val="24"/>
          <w:szCs w:val="24"/>
          <w:lang w:val="en-US"/>
        </w:rPr>
        <w:t>s (or districts)</w:t>
      </w:r>
      <w:r w:rsidRPr="00A77C70">
        <w:rPr>
          <w:rFonts w:ascii="Times New Roman" w:hAnsi="Times New Roman"/>
          <w:sz w:val="24"/>
          <w:szCs w:val="24"/>
          <w:lang w:val="en-US"/>
        </w:rPr>
        <w:t xml:space="preserve"> of education (there are 16 directorate of education in West Bank and five directorates in Gaza). </w:t>
      </w:r>
      <w:r w:rsidR="00E8355C">
        <w:rPr>
          <w:rFonts w:ascii="Times New Roman" w:hAnsi="Times New Roman"/>
          <w:sz w:val="24"/>
          <w:szCs w:val="24"/>
          <w:lang w:val="en-US"/>
        </w:rPr>
        <w:t>The methodological framework used in the Ministry’s in-service training is a cascade model.  As a first step central trainers who are either supervisors from the Ministry or highly qualified teachers or university lecturers</w:t>
      </w:r>
      <w:r w:rsidR="00815811">
        <w:rPr>
          <w:rFonts w:ascii="Times New Roman" w:hAnsi="Times New Roman"/>
          <w:sz w:val="24"/>
          <w:szCs w:val="24"/>
          <w:lang w:val="en-US"/>
        </w:rPr>
        <w:t xml:space="preserve"> provide in-service training </w:t>
      </w:r>
      <w:r w:rsidR="00E8355C">
        <w:rPr>
          <w:rFonts w:ascii="Times New Roman" w:hAnsi="Times New Roman"/>
          <w:sz w:val="24"/>
          <w:szCs w:val="24"/>
          <w:lang w:val="en-US"/>
        </w:rPr>
        <w:t xml:space="preserve">to district </w:t>
      </w:r>
      <w:r w:rsidR="00815811">
        <w:rPr>
          <w:rFonts w:ascii="Times New Roman" w:hAnsi="Times New Roman"/>
          <w:sz w:val="24"/>
          <w:szCs w:val="24"/>
          <w:lang w:val="en-US"/>
        </w:rPr>
        <w:t xml:space="preserve">personnel </w:t>
      </w:r>
      <w:r w:rsidR="00E8355C">
        <w:rPr>
          <w:rFonts w:ascii="Times New Roman" w:hAnsi="Times New Roman"/>
          <w:sz w:val="24"/>
          <w:szCs w:val="24"/>
          <w:lang w:val="en-US"/>
        </w:rPr>
        <w:t>trainers in order to prepare them to train on district level and the</w:t>
      </w:r>
      <w:r w:rsidR="00815811">
        <w:rPr>
          <w:rFonts w:ascii="Times New Roman" w:hAnsi="Times New Roman"/>
          <w:sz w:val="24"/>
          <w:szCs w:val="24"/>
          <w:lang w:val="en-US"/>
        </w:rPr>
        <w:t xml:space="preserve">n district trainers provide training </w:t>
      </w:r>
      <w:r w:rsidR="00E8355C">
        <w:rPr>
          <w:rFonts w:ascii="Times New Roman" w:hAnsi="Times New Roman"/>
          <w:sz w:val="24"/>
          <w:szCs w:val="24"/>
          <w:lang w:val="en-US"/>
        </w:rPr>
        <w:t xml:space="preserve">to </w:t>
      </w:r>
      <w:r w:rsidR="00D2281A">
        <w:rPr>
          <w:rFonts w:ascii="Times New Roman" w:hAnsi="Times New Roman"/>
          <w:sz w:val="24"/>
          <w:szCs w:val="24"/>
          <w:lang w:val="en-US"/>
        </w:rPr>
        <w:t>selected</w:t>
      </w:r>
      <w:r w:rsidR="00E8355C">
        <w:rPr>
          <w:rFonts w:ascii="Times New Roman" w:hAnsi="Times New Roman"/>
          <w:sz w:val="24"/>
          <w:szCs w:val="24"/>
          <w:lang w:val="en-US"/>
        </w:rPr>
        <w:t xml:space="preserve"> teachers.  </w:t>
      </w:r>
      <w:r w:rsidR="00815811">
        <w:rPr>
          <w:rFonts w:ascii="Times New Roman" w:hAnsi="Times New Roman"/>
          <w:sz w:val="24"/>
          <w:szCs w:val="24"/>
          <w:lang w:val="en-US"/>
        </w:rPr>
        <w:t>Overall criteria for selecting trainers on both levels include for example good interpersonal and communication skills and a good teaching record.</w:t>
      </w:r>
    </w:p>
    <w:p w:rsidR="00B30272" w:rsidRPr="00B77495" w:rsidRDefault="00B30272" w:rsidP="00B77495">
      <w:pPr>
        <w:pStyle w:val="ListParagraph"/>
        <w:numPr>
          <w:ilvl w:val="0"/>
          <w:numId w:val="1"/>
        </w:numPr>
        <w:jc w:val="both"/>
        <w:rPr>
          <w:rFonts w:ascii="Times New Roman" w:hAnsi="Times New Roman"/>
          <w:b/>
          <w:sz w:val="24"/>
          <w:szCs w:val="24"/>
        </w:rPr>
      </w:pPr>
      <w:r w:rsidRPr="00B77495">
        <w:rPr>
          <w:rFonts w:ascii="Times New Roman" w:hAnsi="Times New Roman"/>
          <w:b/>
          <w:sz w:val="24"/>
          <w:szCs w:val="24"/>
        </w:rPr>
        <w:t xml:space="preserve">Career development/ teacher competence </w:t>
      </w:r>
    </w:p>
    <w:p w:rsidR="00147E8D" w:rsidRDefault="009D71FD" w:rsidP="00D2281A">
      <w:pPr>
        <w:jc w:val="both"/>
        <w:rPr>
          <w:rFonts w:ascii="Times New Roman" w:hAnsi="Times New Roman"/>
          <w:sz w:val="24"/>
          <w:szCs w:val="24"/>
        </w:rPr>
      </w:pPr>
      <w:r w:rsidRPr="009D71FD">
        <w:rPr>
          <w:rFonts w:ascii="Times New Roman" w:hAnsi="Times New Roman"/>
          <w:sz w:val="24"/>
          <w:szCs w:val="24"/>
        </w:rPr>
        <w:t xml:space="preserve">Thus far, there has not been a formal career development structure for the teaching profession in Palestine.   The lack of such a structure may have impeded the motivation of teachers to engage in in-service training and re-training opportunities.  However, </w:t>
      </w:r>
      <w:r w:rsidR="00B57C4B">
        <w:rPr>
          <w:rFonts w:ascii="Times New Roman" w:hAnsi="Times New Roman"/>
          <w:sz w:val="24"/>
          <w:szCs w:val="24"/>
        </w:rPr>
        <w:t>t</w:t>
      </w:r>
      <w:r w:rsidRPr="009D71FD">
        <w:rPr>
          <w:rFonts w:ascii="Times New Roman" w:hAnsi="Times New Roman"/>
          <w:sz w:val="24"/>
          <w:szCs w:val="24"/>
        </w:rPr>
        <w:t xml:space="preserve">he Directorate of Supervision and Qualifications </w:t>
      </w:r>
      <w:r w:rsidR="00B57C4B">
        <w:rPr>
          <w:rFonts w:ascii="Times New Roman" w:hAnsi="Times New Roman"/>
          <w:sz w:val="24"/>
          <w:szCs w:val="24"/>
        </w:rPr>
        <w:t>is</w:t>
      </w:r>
      <w:r w:rsidR="00B57C4B" w:rsidRPr="009D71FD">
        <w:rPr>
          <w:rFonts w:ascii="Times New Roman" w:hAnsi="Times New Roman"/>
          <w:sz w:val="24"/>
          <w:szCs w:val="24"/>
        </w:rPr>
        <w:t xml:space="preserve"> </w:t>
      </w:r>
      <w:r w:rsidRPr="009D71FD">
        <w:rPr>
          <w:rFonts w:ascii="Times New Roman" w:hAnsi="Times New Roman"/>
          <w:sz w:val="24"/>
          <w:szCs w:val="24"/>
        </w:rPr>
        <w:t>currently in the process of developing a career structure for teachers.  This proposes that there will be a developmental ladder comprising four stages through which teachers may progress during their career.  When student teachers graduate from university, having been assessed against a Readiness to Teach Index (RTTI)</w:t>
      </w:r>
      <w:r w:rsidR="00765758">
        <w:rPr>
          <w:rFonts w:ascii="Times New Roman" w:hAnsi="Times New Roman"/>
          <w:sz w:val="24"/>
          <w:szCs w:val="24"/>
        </w:rPr>
        <w:t>,</w:t>
      </w:r>
      <w:r w:rsidR="009564AF">
        <w:rPr>
          <w:rFonts w:ascii="Times New Roman" w:hAnsi="Times New Roman"/>
          <w:sz w:val="24"/>
          <w:szCs w:val="24"/>
        </w:rPr>
        <w:t xml:space="preserve"> </w:t>
      </w:r>
      <w:r w:rsidRPr="009D71FD">
        <w:rPr>
          <w:rFonts w:ascii="Times New Roman" w:hAnsi="Times New Roman"/>
          <w:sz w:val="24"/>
          <w:szCs w:val="24"/>
        </w:rPr>
        <w:t xml:space="preserve">of core competencies </w:t>
      </w:r>
      <w:r>
        <w:rPr>
          <w:rFonts w:ascii="Times New Roman" w:hAnsi="Times New Roman"/>
          <w:sz w:val="24"/>
          <w:szCs w:val="24"/>
        </w:rPr>
        <w:t>that is being developed as part of the TEIP program</w:t>
      </w:r>
      <w:r w:rsidR="008A155F">
        <w:rPr>
          <w:rFonts w:ascii="Times New Roman" w:hAnsi="Times New Roman"/>
          <w:sz w:val="24"/>
          <w:szCs w:val="24"/>
        </w:rPr>
        <w:t>me: Component 1</w:t>
      </w:r>
      <w:r>
        <w:rPr>
          <w:rFonts w:ascii="Times New Roman" w:hAnsi="Times New Roman"/>
          <w:sz w:val="24"/>
          <w:szCs w:val="24"/>
        </w:rPr>
        <w:t xml:space="preserve"> </w:t>
      </w:r>
      <w:r w:rsidRPr="009D71FD">
        <w:rPr>
          <w:rFonts w:ascii="Times New Roman" w:hAnsi="Times New Roman"/>
          <w:sz w:val="24"/>
          <w:szCs w:val="24"/>
        </w:rPr>
        <w:t xml:space="preserve">to determine that they have attained the Professional Standards for New Teachers in Palestine (2010), they will enter the profession as novice teachers.  They will then have the opportunity to gain promotion progressively to the ranks of Teacher, First </w:t>
      </w:r>
      <w:r w:rsidR="00B57C4B">
        <w:rPr>
          <w:rFonts w:ascii="Times New Roman" w:hAnsi="Times New Roman"/>
          <w:sz w:val="24"/>
          <w:szCs w:val="24"/>
        </w:rPr>
        <w:t>T</w:t>
      </w:r>
      <w:r w:rsidRPr="009D71FD">
        <w:rPr>
          <w:rFonts w:ascii="Times New Roman" w:hAnsi="Times New Roman"/>
          <w:sz w:val="24"/>
          <w:szCs w:val="24"/>
        </w:rPr>
        <w:t xml:space="preserve">eacher and finally </w:t>
      </w:r>
      <w:r w:rsidR="00B57C4B">
        <w:rPr>
          <w:rFonts w:ascii="Times New Roman" w:hAnsi="Times New Roman"/>
          <w:sz w:val="24"/>
          <w:szCs w:val="24"/>
        </w:rPr>
        <w:t>Experienced</w:t>
      </w:r>
      <w:r w:rsidR="00B57C4B" w:rsidRPr="009D71FD">
        <w:rPr>
          <w:rFonts w:ascii="Times New Roman" w:hAnsi="Times New Roman"/>
          <w:sz w:val="24"/>
          <w:szCs w:val="24"/>
        </w:rPr>
        <w:t xml:space="preserve"> </w:t>
      </w:r>
      <w:r w:rsidRPr="009D71FD">
        <w:rPr>
          <w:rFonts w:ascii="Times New Roman" w:hAnsi="Times New Roman"/>
          <w:sz w:val="24"/>
          <w:szCs w:val="24"/>
        </w:rPr>
        <w:t>Teacher.   Promotion is likely to be linked to participation in on-going in-service teacher training and re-training.  Teachers who attain the level</w:t>
      </w:r>
      <w:r w:rsidR="00B57C4B">
        <w:rPr>
          <w:rFonts w:ascii="Times New Roman" w:hAnsi="Times New Roman"/>
          <w:sz w:val="24"/>
          <w:szCs w:val="24"/>
        </w:rPr>
        <w:t>s</w:t>
      </w:r>
      <w:r w:rsidRPr="009D71FD">
        <w:rPr>
          <w:rFonts w:ascii="Times New Roman" w:hAnsi="Times New Roman"/>
          <w:sz w:val="24"/>
          <w:szCs w:val="24"/>
        </w:rPr>
        <w:t xml:space="preserve"> of </w:t>
      </w:r>
      <w:r w:rsidR="00B57C4B">
        <w:rPr>
          <w:rFonts w:ascii="Times New Roman" w:hAnsi="Times New Roman"/>
          <w:sz w:val="24"/>
          <w:szCs w:val="24"/>
        </w:rPr>
        <w:t xml:space="preserve">First Teacher and </w:t>
      </w:r>
      <w:r w:rsidRPr="009D71FD">
        <w:rPr>
          <w:rFonts w:ascii="Times New Roman" w:hAnsi="Times New Roman"/>
          <w:sz w:val="24"/>
          <w:szCs w:val="24"/>
        </w:rPr>
        <w:t>Exper</w:t>
      </w:r>
      <w:r w:rsidR="00B57C4B">
        <w:rPr>
          <w:rFonts w:ascii="Times New Roman" w:hAnsi="Times New Roman"/>
          <w:sz w:val="24"/>
          <w:szCs w:val="24"/>
        </w:rPr>
        <w:t>ienced</w:t>
      </w:r>
      <w:r w:rsidRPr="009D71FD">
        <w:rPr>
          <w:rFonts w:ascii="Times New Roman" w:hAnsi="Times New Roman"/>
          <w:sz w:val="24"/>
          <w:szCs w:val="24"/>
        </w:rPr>
        <w:t xml:space="preserve"> Teacher are also likely to benefit from reduced teaching load in addition to taking on additional responsibilities within the school, including </w:t>
      </w:r>
      <w:r w:rsidR="00B57C4B">
        <w:rPr>
          <w:rFonts w:ascii="Times New Roman" w:hAnsi="Times New Roman"/>
          <w:sz w:val="24"/>
          <w:szCs w:val="24"/>
        </w:rPr>
        <w:t xml:space="preserve">acting </w:t>
      </w:r>
      <w:r w:rsidRPr="009D71FD">
        <w:rPr>
          <w:rFonts w:ascii="Times New Roman" w:hAnsi="Times New Roman"/>
          <w:sz w:val="24"/>
          <w:szCs w:val="24"/>
        </w:rPr>
        <w:t xml:space="preserve">as a mentor to pre-service student teachers.  </w:t>
      </w:r>
      <w:r w:rsidR="00B57C4B">
        <w:rPr>
          <w:rFonts w:ascii="Times New Roman" w:hAnsi="Times New Roman"/>
          <w:sz w:val="24"/>
          <w:szCs w:val="24"/>
        </w:rPr>
        <w:t xml:space="preserve">There is also a possibility that there will be opportunities to become supervisor of a cluster of schools.  </w:t>
      </w:r>
      <w:r w:rsidRPr="009D71FD">
        <w:rPr>
          <w:rFonts w:ascii="Times New Roman" w:hAnsi="Times New Roman"/>
          <w:sz w:val="24"/>
          <w:szCs w:val="24"/>
        </w:rPr>
        <w:t xml:space="preserve">However, it is not clear at this stage to what extent progression through these levels may also attract salary increments.  </w:t>
      </w:r>
    </w:p>
    <w:p w:rsidR="00B30272" w:rsidRPr="00551BC6" w:rsidRDefault="00147E8D" w:rsidP="006B724A">
      <w:pPr>
        <w:jc w:val="both"/>
        <w:rPr>
          <w:rFonts w:ascii="Times New Roman" w:hAnsi="Times New Roman"/>
          <w:color w:val="FF0000"/>
          <w:sz w:val="24"/>
          <w:szCs w:val="24"/>
        </w:rPr>
      </w:pPr>
      <w:r w:rsidRPr="00147E8D">
        <w:rPr>
          <w:rFonts w:ascii="Times New Roman" w:hAnsi="Times New Roman"/>
          <w:sz w:val="24"/>
          <w:szCs w:val="24"/>
        </w:rPr>
        <w:t>Although the development of this career structure is still in its early stages, it may be regarded as another positive move towards enhancing the quality of teaching and improving motivation within the teaching profession.   However, the extreme financial constraints within which the Palestinian Authority and the Ministry of Education operate suggest that it is uncertain when the proposed career structure will be implemented.</w:t>
      </w:r>
    </w:p>
    <w:p w:rsidR="00B30272" w:rsidRPr="00B75BC7" w:rsidRDefault="00B30272" w:rsidP="006B724A">
      <w:pPr>
        <w:jc w:val="both"/>
        <w:rPr>
          <w:rFonts w:ascii="Times New Roman" w:hAnsi="Times New Roman"/>
          <w:b/>
          <w:sz w:val="24"/>
          <w:szCs w:val="24"/>
        </w:rPr>
      </w:pPr>
      <w:r w:rsidRPr="00B75BC7">
        <w:rPr>
          <w:rFonts w:ascii="Times New Roman" w:hAnsi="Times New Roman"/>
          <w:b/>
          <w:sz w:val="24"/>
          <w:szCs w:val="24"/>
        </w:rPr>
        <w:t xml:space="preserve">Main </w:t>
      </w:r>
      <w:r w:rsidR="00DE4071" w:rsidRPr="00B75BC7">
        <w:rPr>
          <w:rFonts w:ascii="Times New Roman" w:hAnsi="Times New Roman"/>
          <w:b/>
          <w:sz w:val="24"/>
          <w:szCs w:val="24"/>
        </w:rPr>
        <w:t>challenges</w:t>
      </w:r>
      <w:r w:rsidRPr="00B75BC7">
        <w:rPr>
          <w:rFonts w:ascii="Times New Roman" w:hAnsi="Times New Roman"/>
          <w:b/>
          <w:sz w:val="24"/>
          <w:szCs w:val="24"/>
        </w:rPr>
        <w:t xml:space="preserve"> &amp; issues</w:t>
      </w:r>
      <w:r w:rsidR="00B75BC7">
        <w:rPr>
          <w:rFonts w:ascii="Times New Roman" w:hAnsi="Times New Roman"/>
          <w:b/>
          <w:sz w:val="24"/>
          <w:szCs w:val="24"/>
        </w:rPr>
        <w:t xml:space="preserve"> in InSTTR</w:t>
      </w:r>
    </w:p>
    <w:p w:rsidR="00317F4E" w:rsidRPr="00317F4E" w:rsidRDefault="00317F4E" w:rsidP="00317F4E">
      <w:pPr>
        <w:pStyle w:val="ListParagraph"/>
        <w:numPr>
          <w:ilvl w:val="0"/>
          <w:numId w:val="1"/>
        </w:numPr>
        <w:jc w:val="both"/>
        <w:rPr>
          <w:rFonts w:ascii="Times New Roman" w:hAnsi="Times New Roman"/>
          <w:sz w:val="24"/>
          <w:szCs w:val="24"/>
        </w:rPr>
      </w:pPr>
      <w:r>
        <w:rPr>
          <w:rFonts w:ascii="Times New Roman" w:hAnsi="Times New Roman"/>
          <w:b/>
          <w:sz w:val="24"/>
          <w:szCs w:val="24"/>
        </w:rPr>
        <w:t>General influence of geo-political instability</w:t>
      </w:r>
    </w:p>
    <w:p w:rsidR="00A77C70" w:rsidRDefault="00B77495" w:rsidP="00551BC6">
      <w:pPr>
        <w:jc w:val="both"/>
        <w:rPr>
          <w:rFonts w:ascii="Times New Roman" w:hAnsi="Times New Roman"/>
          <w:sz w:val="24"/>
          <w:szCs w:val="24"/>
        </w:rPr>
      </w:pPr>
      <w:r w:rsidRPr="00B77495">
        <w:rPr>
          <w:rFonts w:ascii="Times New Roman" w:hAnsi="Times New Roman"/>
          <w:sz w:val="24"/>
          <w:szCs w:val="24"/>
        </w:rPr>
        <w:t>Political instability exists within the Palestinian system, as well as within the geographical region</w:t>
      </w:r>
      <w:r w:rsidR="00A03BA0">
        <w:rPr>
          <w:rFonts w:ascii="Times New Roman" w:hAnsi="Times New Roman"/>
          <w:sz w:val="24"/>
          <w:szCs w:val="24"/>
        </w:rPr>
        <w:t xml:space="preserve"> and ha</w:t>
      </w:r>
      <w:r w:rsidR="00A03D0C">
        <w:rPr>
          <w:rFonts w:ascii="Times New Roman" w:hAnsi="Times New Roman"/>
          <w:sz w:val="24"/>
          <w:szCs w:val="24"/>
        </w:rPr>
        <w:t>s</w:t>
      </w:r>
      <w:r w:rsidR="00A03BA0">
        <w:rPr>
          <w:rFonts w:ascii="Times New Roman" w:hAnsi="Times New Roman"/>
          <w:sz w:val="24"/>
          <w:szCs w:val="24"/>
        </w:rPr>
        <w:t xml:space="preserve"> led in some instances to the restricted mobility of Palestinian teachers</w:t>
      </w:r>
      <w:r w:rsidRPr="00B77495">
        <w:rPr>
          <w:rFonts w:ascii="Times New Roman" w:hAnsi="Times New Roman"/>
          <w:sz w:val="24"/>
          <w:szCs w:val="24"/>
        </w:rPr>
        <w:t xml:space="preserve">. Tensions between the two major </w:t>
      </w:r>
      <w:r>
        <w:rPr>
          <w:rFonts w:ascii="Times New Roman" w:hAnsi="Times New Roman"/>
          <w:sz w:val="24"/>
          <w:szCs w:val="24"/>
        </w:rPr>
        <w:t xml:space="preserve">political </w:t>
      </w:r>
      <w:r w:rsidRPr="00B77495">
        <w:rPr>
          <w:rFonts w:ascii="Times New Roman" w:hAnsi="Times New Roman"/>
          <w:sz w:val="24"/>
          <w:szCs w:val="24"/>
        </w:rPr>
        <w:t xml:space="preserve">parties </w:t>
      </w:r>
      <w:r w:rsidR="008A155F">
        <w:rPr>
          <w:rFonts w:ascii="Times New Roman" w:hAnsi="Times New Roman"/>
          <w:sz w:val="24"/>
          <w:szCs w:val="24"/>
        </w:rPr>
        <w:t xml:space="preserve">also </w:t>
      </w:r>
      <w:r w:rsidRPr="00B77495">
        <w:rPr>
          <w:rFonts w:ascii="Times New Roman" w:hAnsi="Times New Roman"/>
          <w:sz w:val="24"/>
          <w:szCs w:val="24"/>
        </w:rPr>
        <w:t xml:space="preserve">affect </w:t>
      </w:r>
      <w:r w:rsidR="004532C0">
        <w:rPr>
          <w:rFonts w:ascii="Times New Roman" w:hAnsi="Times New Roman"/>
          <w:sz w:val="24"/>
          <w:szCs w:val="24"/>
        </w:rPr>
        <w:t xml:space="preserve">for example </w:t>
      </w:r>
      <w:r w:rsidRPr="00B77495">
        <w:rPr>
          <w:rFonts w:ascii="Times New Roman" w:hAnsi="Times New Roman"/>
          <w:sz w:val="24"/>
          <w:szCs w:val="24"/>
        </w:rPr>
        <w:t xml:space="preserve">the co-ordination of educational development in the West Bank and Gaza and potentially undermine the ability of </w:t>
      </w:r>
      <w:r w:rsidRPr="00B77495">
        <w:rPr>
          <w:rFonts w:ascii="Times New Roman" w:hAnsi="Times New Roman"/>
          <w:sz w:val="24"/>
          <w:szCs w:val="24"/>
        </w:rPr>
        <w:lastRenderedPageBreak/>
        <w:t>the M</w:t>
      </w:r>
      <w:r w:rsidR="00E15CAC">
        <w:rPr>
          <w:rFonts w:ascii="Times New Roman" w:hAnsi="Times New Roman"/>
          <w:sz w:val="24"/>
          <w:szCs w:val="24"/>
        </w:rPr>
        <w:t>O</w:t>
      </w:r>
      <w:r w:rsidRPr="00B77495">
        <w:rPr>
          <w:rFonts w:ascii="Times New Roman" w:hAnsi="Times New Roman"/>
          <w:sz w:val="24"/>
          <w:szCs w:val="24"/>
        </w:rPr>
        <w:t>EHE to sustain the drive for change and development expressed in the EDSP and TESP. This appears to have led to some fragmentation and lack of coherence in implementing the TESP. It has been suggested that inadequate communication between some sections and divisions within the Ministry, has led to</w:t>
      </w:r>
      <w:r>
        <w:t xml:space="preserve"> </w:t>
      </w:r>
      <w:r w:rsidRPr="00B77495">
        <w:rPr>
          <w:rFonts w:ascii="Times New Roman" w:hAnsi="Times New Roman"/>
          <w:sz w:val="24"/>
          <w:szCs w:val="24"/>
        </w:rPr>
        <w:t>internal discord, and poor leadership, and that there has been inadequate administrative and technical capacity to support planned development. The mandates of the Department of Supervision and Qualifications (DSQ) and the National Institute of Education Training (NIET) are insufficiently clear in relation to InSTTR with the result that friction has sometimes existed between the two sections. It is also suggested that the prevailing top-down management style, itself a product of political uncertainty, is a further source of tension and lack of trust, which permeates the education system in vari</w:t>
      </w:r>
      <w:r>
        <w:rPr>
          <w:rFonts w:ascii="Times New Roman" w:hAnsi="Times New Roman"/>
          <w:sz w:val="24"/>
          <w:szCs w:val="24"/>
        </w:rPr>
        <w:t>ous ways (USAID 2010</w:t>
      </w:r>
      <w:r w:rsidR="005A3EAB">
        <w:rPr>
          <w:rFonts w:ascii="Times New Roman" w:hAnsi="Times New Roman"/>
          <w:sz w:val="24"/>
          <w:szCs w:val="24"/>
        </w:rPr>
        <w:t>)</w:t>
      </w:r>
      <w:r>
        <w:rPr>
          <w:rFonts w:ascii="Times New Roman" w:hAnsi="Times New Roman"/>
          <w:sz w:val="24"/>
          <w:szCs w:val="24"/>
        </w:rPr>
        <w:t>.</w:t>
      </w:r>
    </w:p>
    <w:p w:rsidR="00B77495" w:rsidRDefault="00B77495" w:rsidP="00551BC6">
      <w:pPr>
        <w:jc w:val="both"/>
        <w:rPr>
          <w:rFonts w:ascii="Times New Roman" w:hAnsi="Times New Roman"/>
          <w:sz w:val="24"/>
          <w:szCs w:val="24"/>
        </w:rPr>
      </w:pPr>
      <w:r>
        <w:rPr>
          <w:rFonts w:ascii="Times New Roman" w:hAnsi="Times New Roman"/>
          <w:sz w:val="24"/>
          <w:szCs w:val="24"/>
        </w:rPr>
        <w:t>Due to the unstable political situation</w:t>
      </w:r>
      <w:r w:rsidR="000B5C18">
        <w:rPr>
          <w:rFonts w:ascii="Times New Roman" w:hAnsi="Times New Roman"/>
          <w:sz w:val="24"/>
          <w:szCs w:val="24"/>
        </w:rPr>
        <w:t>,</w:t>
      </w:r>
      <w:r w:rsidR="00B30272" w:rsidRPr="00551BC6">
        <w:rPr>
          <w:rFonts w:ascii="Times New Roman" w:hAnsi="Times New Roman"/>
          <w:sz w:val="24"/>
          <w:szCs w:val="24"/>
        </w:rPr>
        <w:t xml:space="preserve"> severe financial pressure </w:t>
      </w:r>
      <w:r>
        <w:rPr>
          <w:rFonts w:ascii="Times New Roman" w:hAnsi="Times New Roman"/>
          <w:sz w:val="24"/>
          <w:szCs w:val="24"/>
        </w:rPr>
        <w:t xml:space="preserve">is </w:t>
      </w:r>
      <w:r w:rsidR="00B30272" w:rsidRPr="00551BC6">
        <w:rPr>
          <w:rFonts w:ascii="Times New Roman" w:hAnsi="Times New Roman"/>
          <w:sz w:val="24"/>
          <w:szCs w:val="24"/>
        </w:rPr>
        <w:t>experienced as a result of the uncertain status of Palestine as an independent state</w:t>
      </w:r>
      <w:r w:rsidR="005A3EAB">
        <w:rPr>
          <w:rFonts w:ascii="Times New Roman" w:hAnsi="Times New Roman"/>
          <w:sz w:val="24"/>
          <w:szCs w:val="24"/>
        </w:rPr>
        <w:t xml:space="preserve"> despite the fact that it has now been recognised by the UN as independent state</w:t>
      </w:r>
      <w:r w:rsidR="00B30272" w:rsidRPr="00551BC6">
        <w:rPr>
          <w:rFonts w:ascii="Times New Roman" w:hAnsi="Times New Roman"/>
          <w:sz w:val="24"/>
          <w:szCs w:val="24"/>
        </w:rPr>
        <w:t xml:space="preserve">. Teachers’ salaries remain low and there are delays in payment.  </w:t>
      </w:r>
      <w:r w:rsidR="005A3EAB">
        <w:rPr>
          <w:rFonts w:ascii="Times New Roman" w:hAnsi="Times New Roman"/>
          <w:sz w:val="24"/>
          <w:szCs w:val="24"/>
        </w:rPr>
        <w:t>As discussed previously t</w:t>
      </w:r>
      <w:r w:rsidR="00B30272" w:rsidRPr="00551BC6">
        <w:rPr>
          <w:rFonts w:ascii="Times New Roman" w:hAnsi="Times New Roman"/>
          <w:sz w:val="24"/>
          <w:szCs w:val="24"/>
        </w:rPr>
        <w:t xml:space="preserve">here is not yet a career ladder for progression within the profession and it is not unusual for (male) teachers to engage in additional employment in order to supplement their income. The fiscal situation is unlikely to be resolved without a political solution to the conflict within the region. </w:t>
      </w:r>
    </w:p>
    <w:p w:rsidR="00B77495" w:rsidRPr="00B77495" w:rsidRDefault="005A3EAB" w:rsidP="00B77495">
      <w:pPr>
        <w:pStyle w:val="ListParagraph"/>
        <w:numPr>
          <w:ilvl w:val="0"/>
          <w:numId w:val="1"/>
        </w:numPr>
        <w:jc w:val="both"/>
        <w:rPr>
          <w:rFonts w:ascii="Times New Roman" w:hAnsi="Times New Roman"/>
          <w:sz w:val="24"/>
          <w:szCs w:val="24"/>
        </w:rPr>
      </w:pPr>
      <w:r>
        <w:rPr>
          <w:rFonts w:ascii="Times New Roman" w:hAnsi="Times New Roman"/>
          <w:b/>
          <w:sz w:val="24"/>
          <w:szCs w:val="24"/>
        </w:rPr>
        <w:t>Capacity</w:t>
      </w:r>
      <w:r w:rsidR="00E75A2A">
        <w:rPr>
          <w:rFonts w:ascii="Times New Roman" w:hAnsi="Times New Roman"/>
          <w:b/>
          <w:sz w:val="24"/>
          <w:szCs w:val="24"/>
        </w:rPr>
        <w:t xml:space="preserve"> </w:t>
      </w:r>
      <w:r>
        <w:rPr>
          <w:rFonts w:ascii="Times New Roman" w:hAnsi="Times New Roman"/>
          <w:b/>
          <w:sz w:val="24"/>
          <w:szCs w:val="24"/>
        </w:rPr>
        <w:t>to develop and</w:t>
      </w:r>
      <w:r w:rsidR="00B77495">
        <w:rPr>
          <w:rFonts w:ascii="Times New Roman" w:hAnsi="Times New Roman"/>
          <w:b/>
          <w:sz w:val="24"/>
          <w:szCs w:val="24"/>
        </w:rPr>
        <w:t xml:space="preserve"> present in-service teacher training programmes</w:t>
      </w:r>
      <w:r w:rsidR="000B5C18">
        <w:rPr>
          <w:rFonts w:ascii="Times New Roman" w:hAnsi="Times New Roman"/>
          <w:b/>
          <w:sz w:val="24"/>
          <w:szCs w:val="24"/>
        </w:rPr>
        <w:t xml:space="preserve"> </w:t>
      </w:r>
    </w:p>
    <w:p w:rsidR="00D2281A" w:rsidRDefault="00B30272" w:rsidP="00551BC6">
      <w:pPr>
        <w:jc w:val="both"/>
        <w:rPr>
          <w:rFonts w:ascii="Times New Roman" w:hAnsi="Times New Roman"/>
          <w:sz w:val="24"/>
          <w:szCs w:val="24"/>
        </w:rPr>
      </w:pPr>
      <w:r w:rsidRPr="00551BC6">
        <w:rPr>
          <w:rFonts w:ascii="Times New Roman" w:hAnsi="Times New Roman"/>
          <w:sz w:val="24"/>
          <w:szCs w:val="24"/>
        </w:rPr>
        <w:t xml:space="preserve">There are several internal issues which can be related to capacity within sections of the MOEHE and National Institute of Education Training </w:t>
      </w:r>
      <w:r w:rsidR="005A3EAB">
        <w:rPr>
          <w:rFonts w:ascii="Times New Roman" w:hAnsi="Times New Roman"/>
          <w:sz w:val="24"/>
          <w:szCs w:val="24"/>
        </w:rPr>
        <w:t>(</w:t>
      </w:r>
      <w:r w:rsidRPr="00551BC6">
        <w:rPr>
          <w:rFonts w:ascii="Times New Roman" w:hAnsi="Times New Roman"/>
          <w:sz w:val="24"/>
          <w:szCs w:val="24"/>
        </w:rPr>
        <w:t>NIET</w:t>
      </w:r>
      <w:r w:rsidR="005A3EAB">
        <w:rPr>
          <w:rFonts w:ascii="Times New Roman" w:hAnsi="Times New Roman"/>
          <w:sz w:val="24"/>
          <w:szCs w:val="24"/>
        </w:rPr>
        <w:t>)</w:t>
      </w:r>
      <w:r w:rsidRPr="00551BC6">
        <w:rPr>
          <w:rFonts w:ascii="Times New Roman" w:hAnsi="Times New Roman"/>
          <w:sz w:val="24"/>
          <w:szCs w:val="24"/>
        </w:rPr>
        <w:t xml:space="preserve"> themselves; to the effect of educational policy and pedagogical practice, and to issues of teacher selection, and teacher quality and status. </w:t>
      </w:r>
    </w:p>
    <w:p w:rsidR="00B30272" w:rsidRPr="00551BC6" w:rsidRDefault="00B30272" w:rsidP="00551BC6">
      <w:pPr>
        <w:jc w:val="both"/>
        <w:rPr>
          <w:rFonts w:ascii="Times New Roman" w:hAnsi="Times New Roman"/>
          <w:sz w:val="24"/>
          <w:szCs w:val="24"/>
        </w:rPr>
      </w:pPr>
      <w:r w:rsidRPr="00551BC6">
        <w:rPr>
          <w:rFonts w:ascii="Times New Roman" w:hAnsi="Times New Roman"/>
          <w:sz w:val="24"/>
          <w:szCs w:val="24"/>
        </w:rPr>
        <w:t xml:space="preserve">Previously, District Supervisors trained up to 8,000 teachers per week on an unstructured </w:t>
      </w:r>
      <w:r w:rsidRPr="00551BC6">
        <w:rPr>
          <w:rFonts w:ascii="Times New Roman" w:hAnsi="Times New Roman"/>
          <w:i/>
          <w:sz w:val="24"/>
          <w:szCs w:val="24"/>
        </w:rPr>
        <w:t>ad hoc</w:t>
      </w:r>
      <w:r w:rsidRPr="00551BC6">
        <w:rPr>
          <w:rFonts w:ascii="Times New Roman" w:hAnsi="Times New Roman"/>
          <w:sz w:val="24"/>
          <w:szCs w:val="24"/>
        </w:rPr>
        <w:t xml:space="preserve"> basis (USAID, 2010</w:t>
      </w:r>
      <w:r w:rsidR="00921394">
        <w:rPr>
          <w:rFonts w:ascii="Times New Roman" w:hAnsi="Times New Roman"/>
          <w:sz w:val="24"/>
          <w:szCs w:val="24"/>
        </w:rPr>
        <w:t>).</w:t>
      </w:r>
      <w:r w:rsidRPr="00551BC6">
        <w:rPr>
          <w:rFonts w:ascii="Times New Roman" w:hAnsi="Times New Roman"/>
          <w:sz w:val="24"/>
          <w:szCs w:val="24"/>
        </w:rPr>
        <w:t xml:space="preserve"> Recent changes to their role in InSTTR have reduced the amount of time and financial support available, and they are concentrating more on teacher support and evaluation. District Supervisors are expected to visit schools and observe teachers on a regular basis in order to ensure quality and to identify needs. However, District Supervisors often appear to function more as inspectors, than as professional support (World Bank, 2006, UNICEF 2011)</w:t>
      </w:r>
      <w:r w:rsidR="000B5C18">
        <w:rPr>
          <w:rFonts w:ascii="Times New Roman" w:hAnsi="Times New Roman"/>
          <w:sz w:val="24"/>
          <w:szCs w:val="24"/>
        </w:rPr>
        <w:t>.</w:t>
      </w:r>
      <w:r w:rsidRPr="00551BC6">
        <w:rPr>
          <w:rFonts w:ascii="Times New Roman" w:hAnsi="Times New Roman"/>
          <w:sz w:val="24"/>
          <w:szCs w:val="24"/>
        </w:rPr>
        <w:t xml:space="preserve">  Current policy requires teachers to cover all sections of the required text books, page by page, in order to deliver the large amount of content within the Palestinian National Curriculum. Lesson observations by District Supervisors often focus more on curriculum coverage than on teaching methods and pupils’ learning. This has the effect of reinforcing content focused curriculum delivery leading to </w:t>
      </w:r>
      <w:r w:rsidR="00921394">
        <w:rPr>
          <w:rFonts w:ascii="Times New Roman" w:hAnsi="Times New Roman"/>
          <w:sz w:val="24"/>
          <w:szCs w:val="24"/>
        </w:rPr>
        <w:t xml:space="preserve"> an </w:t>
      </w:r>
      <w:r w:rsidRPr="00551BC6">
        <w:rPr>
          <w:rFonts w:ascii="Times New Roman" w:hAnsi="Times New Roman"/>
          <w:sz w:val="24"/>
          <w:szCs w:val="24"/>
        </w:rPr>
        <w:t>outdated rote learning methodologi</w:t>
      </w:r>
      <w:r w:rsidR="00921394">
        <w:rPr>
          <w:rFonts w:ascii="Times New Roman" w:hAnsi="Times New Roman"/>
          <w:sz w:val="24"/>
          <w:szCs w:val="24"/>
        </w:rPr>
        <w:t>cal approach</w:t>
      </w:r>
      <w:r w:rsidRPr="00551BC6">
        <w:rPr>
          <w:rFonts w:ascii="Times New Roman" w:hAnsi="Times New Roman"/>
          <w:sz w:val="24"/>
          <w:szCs w:val="24"/>
        </w:rPr>
        <w:t xml:space="preserve"> being used in classroom</w:t>
      </w:r>
      <w:r w:rsidR="00921394">
        <w:rPr>
          <w:rFonts w:ascii="Times New Roman" w:hAnsi="Times New Roman"/>
          <w:sz w:val="24"/>
          <w:szCs w:val="24"/>
        </w:rPr>
        <w:t>s</w:t>
      </w:r>
      <w:r w:rsidRPr="00551BC6">
        <w:rPr>
          <w:rFonts w:ascii="Times New Roman" w:hAnsi="Times New Roman"/>
          <w:sz w:val="24"/>
          <w:szCs w:val="24"/>
        </w:rPr>
        <w:t xml:space="preserve"> (UNICEF 2011) rather than the more flexible, child-focused strategies that are advocated in the EDSP. Not all District Supervisors have been fully qualified for their roles, which further exacerbates this situation (Hasweh,2011: 29).</w:t>
      </w:r>
    </w:p>
    <w:p w:rsidR="00B30272" w:rsidRPr="00551BC6" w:rsidRDefault="00B30272" w:rsidP="00551BC6">
      <w:pPr>
        <w:jc w:val="both"/>
        <w:rPr>
          <w:rFonts w:ascii="Times New Roman" w:hAnsi="Times New Roman"/>
          <w:sz w:val="24"/>
          <w:szCs w:val="24"/>
        </w:rPr>
      </w:pPr>
      <w:r w:rsidRPr="00551BC6">
        <w:rPr>
          <w:rFonts w:ascii="Times New Roman" w:hAnsi="Times New Roman"/>
          <w:sz w:val="24"/>
          <w:szCs w:val="24"/>
        </w:rPr>
        <w:t xml:space="preserve">Another significant issue within the educational infrastructure at top level has been the lack of an effective Education Management Information System.  Until recently inadequate </w:t>
      </w:r>
      <w:r w:rsidRPr="00551BC6">
        <w:rPr>
          <w:rFonts w:ascii="Times New Roman" w:hAnsi="Times New Roman"/>
          <w:sz w:val="24"/>
          <w:szCs w:val="24"/>
        </w:rPr>
        <w:lastRenderedPageBreak/>
        <w:t>information about teachers’ qualifications has made it difficult for under-qualified teachers to be identified and targeted with appropriate training. The situation was exacerbated by a teachers’ strike in Gaza in 2006, which meant that 5,000 teachers were then recruited at short notice to fill the gap, not all of whom were appropriately qualified (UNICEF, 2011: 13).</w:t>
      </w:r>
    </w:p>
    <w:p w:rsidR="00B30272" w:rsidRPr="00551BC6" w:rsidRDefault="00B30272" w:rsidP="00551BC6">
      <w:pPr>
        <w:jc w:val="both"/>
        <w:rPr>
          <w:rFonts w:ascii="Times New Roman" w:hAnsi="Times New Roman"/>
          <w:sz w:val="24"/>
          <w:szCs w:val="24"/>
        </w:rPr>
      </w:pPr>
      <w:r w:rsidRPr="00551BC6">
        <w:rPr>
          <w:rFonts w:ascii="Times New Roman" w:hAnsi="Times New Roman"/>
          <w:sz w:val="24"/>
          <w:szCs w:val="24"/>
        </w:rPr>
        <w:t xml:space="preserve">In 2008, as the TESP was published, the figures for unqualified teachers were not known for certain, due to these problems, but were estimated to be in the region of 80% (TESP 2008).  </w:t>
      </w:r>
      <w:r>
        <w:rPr>
          <w:rFonts w:ascii="Times New Roman" w:hAnsi="Times New Roman"/>
          <w:sz w:val="24"/>
          <w:szCs w:val="24"/>
        </w:rPr>
        <w:t xml:space="preserve"> In 2011 </w:t>
      </w:r>
      <w:r w:rsidR="00921394">
        <w:rPr>
          <w:rFonts w:ascii="Times New Roman" w:hAnsi="Times New Roman"/>
          <w:sz w:val="24"/>
          <w:szCs w:val="24"/>
        </w:rPr>
        <w:t xml:space="preserve">a report by </w:t>
      </w:r>
      <w:r w:rsidRPr="00551BC6">
        <w:rPr>
          <w:rFonts w:ascii="Times New Roman" w:hAnsi="Times New Roman"/>
          <w:sz w:val="24"/>
          <w:szCs w:val="24"/>
        </w:rPr>
        <w:t>AMIDEAST (Hasweh</w:t>
      </w:r>
      <w:r w:rsidR="008A155F">
        <w:rPr>
          <w:rFonts w:ascii="Times New Roman" w:hAnsi="Times New Roman"/>
          <w:sz w:val="24"/>
          <w:szCs w:val="24"/>
        </w:rPr>
        <w:t>, 2011) indicated that around 75</w:t>
      </w:r>
      <w:r>
        <w:rPr>
          <w:rFonts w:ascii="Times New Roman" w:hAnsi="Times New Roman"/>
          <w:sz w:val="24"/>
          <w:szCs w:val="24"/>
        </w:rPr>
        <w:t>% of teachers in the West Bank we</w:t>
      </w:r>
      <w:r w:rsidRPr="00551BC6">
        <w:rPr>
          <w:rFonts w:ascii="Times New Roman" w:hAnsi="Times New Roman"/>
          <w:sz w:val="24"/>
          <w:szCs w:val="24"/>
        </w:rPr>
        <w:t xml:space="preserve">re under-qualified according to the requirements of the TESP (BA degree with teaching certification).  </w:t>
      </w:r>
      <w:r w:rsidR="00934B61">
        <w:rPr>
          <w:rFonts w:ascii="Times New Roman" w:hAnsi="Times New Roman"/>
          <w:sz w:val="24"/>
          <w:szCs w:val="24"/>
        </w:rPr>
        <w:t xml:space="preserve"> </w:t>
      </w:r>
    </w:p>
    <w:p w:rsidR="00E1495A" w:rsidRPr="00E1495A" w:rsidRDefault="00E1495A" w:rsidP="00E1495A">
      <w:pPr>
        <w:pStyle w:val="ListParagraph"/>
        <w:numPr>
          <w:ilvl w:val="0"/>
          <w:numId w:val="1"/>
        </w:numPr>
        <w:jc w:val="both"/>
        <w:rPr>
          <w:rFonts w:ascii="Times New Roman" w:hAnsi="Times New Roman"/>
          <w:sz w:val="24"/>
          <w:szCs w:val="24"/>
        </w:rPr>
      </w:pPr>
      <w:r>
        <w:rPr>
          <w:rFonts w:ascii="Times New Roman" w:hAnsi="Times New Roman"/>
          <w:b/>
          <w:sz w:val="24"/>
          <w:szCs w:val="24"/>
        </w:rPr>
        <w:t xml:space="preserve">Impact of </w:t>
      </w:r>
      <w:r w:rsidR="00DA26A0">
        <w:rPr>
          <w:rFonts w:ascii="Times New Roman" w:hAnsi="Times New Roman"/>
          <w:b/>
          <w:sz w:val="24"/>
          <w:szCs w:val="24"/>
        </w:rPr>
        <w:t>pre</w:t>
      </w:r>
      <w:r>
        <w:rPr>
          <w:rFonts w:ascii="Times New Roman" w:hAnsi="Times New Roman"/>
          <w:b/>
          <w:sz w:val="24"/>
          <w:szCs w:val="24"/>
        </w:rPr>
        <w:t>-service teacher training programmes</w:t>
      </w:r>
    </w:p>
    <w:p w:rsidR="00B30272" w:rsidRPr="00E1495A" w:rsidRDefault="00B30272" w:rsidP="00E1495A">
      <w:pPr>
        <w:jc w:val="both"/>
        <w:rPr>
          <w:rFonts w:ascii="Times New Roman" w:hAnsi="Times New Roman"/>
          <w:sz w:val="24"/>
          <w:szCs w:val="24"/>
        </w:rPr>
      </w:pPr>
      <w:r w:rsidRPr="00E1495A">
        <w:rPr>
          <w:rFonts w:ascii="Times New Roman" w:hAnsi="Times New Roman"/>
          <w:sz w:val="24"/>
          <w:szCs w:val="24"/>
        </w:rPr>
        <w:t xml:space="preserve">The large number of under-qualified teachers is </w:t>
      </w:r>
      <w:r w:rsidR="00DA26A0">
        <w:rPr>
          <w:rFonts w:ascii="Times New Roman" w:hAnsi="Times New Roman"/>
          <w:sz w:val="24"/>
          <w:szCs w:val="24"/>
        </w:rPr>
        <w:t xml:space="preserve">however </w:t>
      </w:r>
      <w:r w:rsidRPr="00E1495A">
        <w:rPr>
          <w:rFonts w:ascii="Times New Roman" w:hAnsi="Times New Roman"/>
          <w:sz w:val="24"/>
          <w:szCs w:val="24"/>
        </w:rPr>
        <w:t>not the only difficulty faced by the Palestinian system in terms of teacher quality</w:t>
      </w:r>
      <w:r w:rsidR="00DA26A0">
        <w:rPr>
          <w:rFonts w:ascii="Times New Roman" w:hAnsi="Times New Roman"/>
          <w:sz w:val="24"/>
          <w:szCs w:val="24"/>
        </w:rPr>
        <w:t>.</w:t>
      </w:r>
      <w:r w:rsidRPr="00E1495A">
        <w:rPr>
          <w:rFonts w:ascii="Times New Roman" w:hAnsi="Times New Roman"/>
          <w:sz w:val="24"/>
          <w:szCs w:val="24"/>
        </w:rPr>
        <w:t xml:space="preserve"> There are also considerable shortcomings within the current systems of initial teacher education which mean that not all new teachers are adequately equipped in terms of effective classroom practice, according to the child focused principles outlined in the EDSP and Palestinian National Curriculum. These shortcomings result from several factors, including the quality of </w:t>
      </w:r>
      <w:r w:rsidR="00934B61">
        <w:rPr>
          <w:rFonts w:ascii="Times New Roman" w:hAnsi="Times New Roman"/>
          <w:sz w:val="24"/>
          <w:szCs w:val="24"/>
        </w:rPr>
        <w:t xml:space="preserve">initial teacher </w:t>
      </w:r>
      <w:r w:rsidRPr="00E1495A">
        <w:rPr>
          <w:rFonts w:ascii="Times New Roman" w:hAnsi="Times New Roman"/>
          <w:sz w:val="24"/>
          <w:szCs w:val="24"/>
        </w:rPr>
        <w:t>training provided by some universities, the amount and quality of practical classroom experience provided during training and lastly, but importantly, the quality of students opting to study education courses within the university sector.</w:t>
      </w:r>
    </w:p>
    <w:p w:rsidR="00B30272" w:rsidRPr="00551BC6" w:rsidRDefault="00B30272" w:rsidP="00551BC6">
      <w:pPr>
        <w:jc w:val="both"/>
        <w:rPr>
          <w:rFonts w:ascii="Times New Roman" w:hAnsi="Times New Roman"/>
          <w:sz w:val="24"/>
          <w:szCs w:val="24"/>
        </w:rPr>
      </w:pPr>
      <w:r w:rsidRPr="00551BC6">
        <w:rPr>
          <w:rFonts w:ascii="Times New Roman" w:hAnsi="Times New Roman"/>
          <w:sz w:val="24"/>
          <w:szCs w:val="24"/>
        </w:rPr>
        <w:t xml:space="preserve">Significant numbers of students enter university education programmes: over 13,000 new entrants were registered in the West Bank and Gaza for various education programmes in 2009/2010. The level of academic achievement of many of these students is lower than that of students studying other subjects (UNICEF 2011), and teaching is generally seen as a low status occupation, particularly for men. Previously there were limited opportunities for students to undergo practical experience in classrooms, and although the TESP (2008) now requires a minimum of 180 hours to be spent in schools (equivalent to about 7 weeks), much of this time appears to be spent in observation rather than practical teaching in some university courses. </w:t>
      </w:r>
      <w:r w:rsidR="00934B61">
        <w:rPr>
          <w:rFonts w:ascii="Times New Roman" w:hAnsi="Times New Roman"/>
          <w:sz w:val="24"/>
          <w:szCs w:val="24"/>
        </w:rPr>
        <w:t xml:space="preserve">In some universities </w:t>
      </w:r>
      <w:r w:rsidR="00EB2119">
        <w:rPr>
          <w:rFonts w:ascii="Times New Roman" w:hAnsi="Times New Roman"/>
          <w:sz w:val="24"/>
          <w:szCs w:val="24"/>
        </w:rPr>
        <w:t>f</w:t>
      </w:r>
      <w:r w:rsidRPr="00551BC6">
        <w:rPr>
          <w:rFonts w:ascii="Times New Roman" w:hAnsi="Times New Roman"/>
          <w:sz w:val="24"/>
          <w:szCs w:val="24"/>
        </w:rPr>
        <w:t>ield experience is concentrated in the final (fourth) year of the programme so that there is little opportunity for students to make connections between theory and practice earlier in their training.</w:t>
      </w:r>
      <w:r>
        <w:rPr>
          <w:rFonts w:ascii="Times New Roman" w:hAnsi="Times New Roman"/>
          <w:sz w:val="24"/>
          <w:szCs w:val="24"/>
        </w:rPr>
        <w:t xml:space="preserve"> In some cases, student teachers are placed in classrooms with teachers who are themselves under-qualified, or who do not model effective classroom practice.  Additionally, s</w:t>
      </w:r>
      <w:r w:rsidRPr="00551BC6">
        <w:rPr>
          <w:rFonts w:ascii="Times New Roman" w:hAnsi="Times New Roman"/>
          <w:sz w:val="24"/>
          <w:szCs w:val="24"/>
        </w:rPr>
        <w:t xml:space="preserve">ome university lecturers do not themselves hold a teaching qualification, or are inexperienced in relation to the age range for which students are training, which compound the difficulties faced by new teachers entering the profession. </w:t>
      </w:r>
    </w:p>
    <w:p w:rsidR="00B30272" w:rsidRPr="007E067B" w:rsidRDefault="00B30272" w:rsidP="00551BC6">
      <w:pPr>
        <w:jc w:val="both"/>
        <w:rPr>
          <w:rFonts w:ascii="Times New Roman" w:hAnsi="Times New Roman"/>
          <w:sz w:val="24"/>
          <w:szCs w:val="24"/>
          <w:lang w:val="en-US"/>
        </w:rPr>
      </w:pPr>
      <w:r w:rsidRPr="007E067B">
        <w:rPr>
          <w:rFonts w:ascii="Times New Roman" w:hAnsi="Times New Roman"/>
          <w:sz w:val="24"/>
          <w:szCs w:val="24"/>
          <w:lang w:val="en-US"/>
        </w:rPr>
        <w:t>A further barrier to improving teacher quality appears to be the selection process for new teachers entering the profession, which is predominantly examination based. The academic performance and practical experience of prospective teachers d</w:t>
      </w:r>
      <w:r w:rsidR="009D71FD">
        <w:rPr>
          <w:rFonts w:ascii="Times New Roman" w:hAnsi="Times New Roman"/>
          <w:sz w:val="24"/>
          <w:szCs w:val="24"/>
          <w:lang w:val="en-US"/>
        </w:rPr>
        <w:t>uring their university program</w:t>
      </w:r>
      <w:r w:rsidRPr="007E067B">
        <w:rPr>
          <w:rFonts w:ascii="Times New Roman" w:hAnsi="Times New Roman"/>
          <w:sz w:val="24"/>
          <w:szCs w:val="24"/>
          <w:lang w:val="en-US"/>
        </w:rPr>
        <w:t xml:space="preserve"> appears to carry little weight, as against their performance in a national examination. The development of the Readiness to Teach Index (RTTI) as an outcome of </w:t>
      </w:r>
      <w:r w:rsidR="00E1495A">
        <w:rPr>
          <w:rFonts w:ascii="Times New Roman" w:hAnsi="Times New Roman"/>
          <w:sz w:val="24"/>
          <w:szCs w:val="24"/>
          <w:lang w:val="en-US"/>
        </w:rPr>
        <w:t xml:space="preserve">Component 1 of </w:t>
      </w:r>
      <w:r w:rsidRPr="007E067B">
        <w:rPr>
          <w:rFonts w:ascii="Times New Roman" w:hAnsi="Times New Roman"/>
          <w:sz w:val="24"/>
          <w:szCs w:val="24"/>
          <w:lang w:val="en-US"/>
        </w:rPr>
        <w:t xml:space="preserve">the TEIP project discussed previously is expected to provide a more accurate and informative </w:t>
      </w:r>
      <w:r w:rsidRPr="007E067B">
        <w:rPr>
          <w:rFonts w:ascii="Times New Roman" w:hAnsi="Times New Roman"/>
          <w:sz w:val="24"/>
          <w:szCs w:val="24"/>
          <w:lang w:val="en-US"/>
        </w:rPr>
        <w:lastRenderedPageBreak/>
        <w:t>measure of student teachers’ potential as classroom practitioners, and also of their individual needs for professional development.</w:t>
      </w:r>
    </w:p>
    <w:p w:rsidR="00B30272" w:rsidRDefault="00EB2119" w:rsidP="00551BC6">
      <w:pPr>
        <w:jc w:val="both"/>
        <w:rPr>
          <w:rFonts w:ascii="Times New Roman" w:hAnsi="Times New Roman"/>
          <w:sz w:val="24"/>
          <w:szCs w:val="24"/>
        </w:rPr>
      </w:pPr>
      <w:r>
        <w:rPr>
          <w:rFonts w:ascii="Times New Roman" w:hAnsi="Times New Roman"/>
          <w:sz w:val="24"/>
          <w:szCs w:val="24"/>
          <w:lang w:val="en-US"/>
        </w:rPr>
        <w:t>As mentioned earlier,</w:t>
      </w:r>
      <w:r w:rsidR="00B30272" w:rsidRPr="007E067B">
        <w:rPr>
          <w:rFonts w:ascii="Times New Roman" w:hAnsi="Times New Roman"/>
          <w:sz w:val="24"/>
          <w:szCs w:val="24"/>
          <w:lang w:val="en-US"/>
        </w:rPr>
        <w:t xml:space="preserve"> </w:t>
      </w:r>
      <w:r w:rsidR="00B30272" w:rsidRPr="007E067B">
        <w:rPr>
          <w:rFonts w:ascii="Times New Roman" w:hAnsi="Times New Roman"/>
          <w:sz w:val="24"/>
          <w:szCs w:val="24"/>
        </w:rPr>
        <w:t xml:space="preserve">new teachers are expected to attend obligatory induction training </w:t>
      </w:r>
      <w:r w:rsidR="00A03BA0">
        <w:rPr>
          <w:rFonts w:ascii="Times New Roman" w:hAnsi="Times New Roman"/>
          <w:sz w:val="24"/>
          <w:szCs w:val="24"/>
        </w:rPr>
        <w:t xml:space="preserve">programmes </w:t>
      </w:r>
      <w:r w:rsidR="00B30272" w:rsidRPr="007E067B">
        <w:rPr>
          <w:rFonts w:ascii="Times New Roman" w:hAnsi="Times New Roman"/>
          <w:sz w:val="24"/>
          <w:szCs w:val="24"/>
        </w:rPr>
        <w:t xml:space="preserve">once appointed. This training focuses on curriculum content, teaching methods and evaluation (assessment of </w:t>
      </w:r>
      <w:r w:rsidR="00A03BA0">
        <w:rPr>
          <w:rFonts w:ascii="Times New Roman" w:hAnsi="Times New Roman"/>
          <w:sz w:val="24"/>
          <w:szCs w:val="24"/>
        </w:rPr>
        <w:t>students</w:t>
      </w:r>
      <w:r w:rsidR="00B30272" w:rsidRPr="007E067B">
        <w:rPr>
          <w:rFonts w:ascii="Times New Roman" w:hAnsi="Times New Roman"/>
          <w:sz w:val="24"/>
          <w:szCs w:val="24"/>
        </w:rPr>
        <w:t xml:space="preserve">), since the majority of the university courses followed by new teachers may not have prepared them adequately for their first </w:t>
      </w:r>
      <w:r w:rsidR="00A03BA0">
        <w:rPr>
          <w:rFonts w:ascii="Times New Roman" w:hAnsi="Times New Roman"/>
          <w:sz w:val="24"/>
          <w:szCs w:val="24"/>
        </w:rPr>
        <w:t>appointment as classroom teachers</w:t>
      </w:r>
      <w:r w:rsidR="00B30272" w:rsidRPr="007E067B">
        <w:rPr>
          <w:rFonts w:ascii="Times New Roman" w:hAnsi="Times New Roman"/>
          <w:sz w:val="24"/>
          <w:szCs w:val="24"/>
        </w:rPr>
        <w:t xml:space="preserve">.  </w:t>
      </w:r>
      <w:r w:rsidR="00A03BA0">
        <w:rPr>
          <w:rFonts w:ascii="Times New Roman" w:hAnsi="Times New Roman"/>
          <w:sz w:val="24"/>
          <w:szCs w:val="24"/>
        </w:rPr>
        <w:t xml:space="preserve">However, according to UNESCO (2011), there is a need to include issues regarding classroom management and school organization in the inductive training as well. </w:t>
      </w:r>
      <w:r w:rsidR="00B30272" w:rsidRPr="007E067B">
        <w:rPr>
          <w:rFonts w:ascii="Times New Roman" w:hAnsi="Times New Roman"/>
          <w:sz w:val="24"/>
          <w:szCs w:val="24"/>
        </w:rPr>
        <w:t xml:space="preserve">From 2014 this situation will begin to be remedied, as the new requirements for appointment come into force. However, the obligatory training </w:t>
      </w:r>
      <w:r w:rsidR="00B30272">
        <w:rPr>
          <w:rFonts w:ascii="Times New Roman" w:hAnsi="Times New Roman"/>
          <w:sz w:val="24"/>
          <w:szCs w:val="24"/>
        </w:rPr>
        <w:t>does</w:t>
      </w:r>
      <w:r w:rsidR="00B30272" w:rsidRPr="007E067B">
        <w:rPr>
          <w:rFonts w:ascii="Times New Roman" w:hAnsi="Times New Roman"/>
          <w:sz w:val="24"/>
          <w:szCs w:val="24"/>
        </w:rPr>
        <w:t xml:space="preserve"> not</w:t>
      </w:r>
      <w:r w:rsidR="00B30272">
        <w:rPr>
          <w:rFonts w:ascii="Times New Roman" w:hAnsi="Times New Roman"/>
          <w:sz w:val="24"/>
          <w:szCs w:val="24"/>
        </w:rPr>
        <w:t xml:space="preserve"> currently</w:t>
      </w:r>
      <w:r w:rsidR="00B30272" w:rsidRPr="007E067B">
        <w:rPr>
          <w:rFonts w:ascii="Times New Roman" w:hAnsi="Times New Roman"/>
          <w:sz w:val="24"/>
          <w:szCs w:val="24"/>
        </w:rPr>
        <w:t xml:space="preserve"> take individual circumstances into account so that although the induction training programme is regarded by teachers as the most useful training provided</w:t>
      </w:r>
      <w:r w:rsidR="00B30272">
        <w:t xml:space="preserve"> </w:t>
      </w:r>
      <w:r w:rsidR="00B30272" w:rsidRPr="007E067B">
        <w:rPr>
          <w:rFonts w:ascii="Times New Roman" w:hAnsi="Times New Roman"/>
          <w:sz w:val="24"/>
          <w:szCs w:val="24"/>
        </w:rPr>
        <w:t>by the MoEHE</w:t>
      </w:r>
      <w:r w:rsidR="00B30272">
        <w:t xml:space="preserve">, </w:t>
      </w:r>
      <w:r w:rsidR="00B30272" w:rsidRPr="007E067B">
        <w:rPr>
          <w:rFonts w:ascii="Times New Roman" w:hAnsi="Times New Roman"/>
          <w:sz w:val="24"/>
          <w:szCs w:val="24"/>
        </w:rPr>
        <w:t xml:space="preserve">new teachers are not necessarily supported in the areas of their greatest need.  </w:t>
      </w:r>
    </w:p>
    <w:p w:rsidR="00E1495A" w:rsidRPr="00E1495A" w:rsidRDefault="00E1495A" w:rsidP="00E1495A">
      <w:pPr>
        <w:pStyle w:val="ListParagraph"/>
        <w:numPr>
          <w:ilvl w:val="0"/>
          <w:numId w:val="1"/>
        </w:numPr>
        <w:jc w:val="both"/>
        <w:rPr>
          <w:rFonts w:ascii="Times New Roman" w:hAnsi="Times New Roman"/>
          <w:sz w:val="24"/>
          <w:szCs w:val="24"/>
        </w:rPr>
      </w:pPr>
      <w:r>
        <w:rPr>
          <w:rFonts w:ascii="Times New Roman" w:hAnsi="Times New Roman"/>
          <w:b/>
          <w:sz w:val="24"/>
          <w:szCs w:val="24"/>
        </w:rPr>
        <w:t>Prevailing management culture in InSTTR</w:t>
      </w:r>
    </w:p>
    <w:p w:rsidR="001A0A93" w:rsidRDefault="00B30272" w:rsidP="00551BC6">
      <w:pPr>
        <w:jc w:val="both"/>
        <w:rPr>
          <w:rFonts w:ascii="Times New Roman" w:hAnsi="Times New Roman"/>
          <w:sz w:val="24"/>
          <w:szCs w:val="24"/>
        </w:rPr>
      </w:pPr>
      <w:r w:rsidRPr="007E067B">
        <w:rPr>
          <w:rFonts w:ascii="Times New Roman" w:hAnsi="Times New Roman"/>
          <w:sz w:val="24"/>
          <w:szCs w:val="24"/>
        </w:rPr>
        <w:t xml:space="preserve">As a result of the ‘top-down’ management culture referred to previously, teachers in the West Bank and Gaza do not currently have sufficient autonomy to be able to identify their </w:t>
      </w:r>
      <w:r w:rsidR="002C19B1" w:rsidRPr="007E067B">
        <w:rPr>
          <w:rFonts w:ascii="Times New Roman" w:hAnsi="Times New Roman"/>
          <w:sz w:val="24"/>
          <w:szCs w:val="24"/>
        </w:rPr>
        <w:t>own training</w:t>
      </w:r>
      <w:r w:rsidRPr="007E067B">
        <w:rPr>
          <w:rFonts w:ascii="Times New Roman" w:hAnsi="Times New Roman"/>
          <w:sz w:val="24"/>
          <w:szCs w:val="24"/>
        </w:rPr>
        <w:t xml:space="preserve"> needs. Members of the AMIDEAST </w:t>
      </w:r>
      <w:r w:rsidR="00E1495A">
        <w:rPr>
          <w:rFonts w:ascii="Times New Roman" w:hAnsi="Times New Roman"/>
          <w:sz w:val="24"/>
          <w:szCs w:val="24"/>
        </w:rPr>
        <w:t xml:space="preserve">evaluation </w:t>
      </w:r>
      <w:r w:rsidRPr="007E067B">
        <w:rPr>
          <w:rFonts w:ascii="Times New Roman" w:hAnsi="Times New Roman"/>
          <w:sz w:val="24"/>
          <w:szCs w:val="24"/>
        </w:rPr>
        <w:t xml:space="preserve">team </w:t>
      </w:r>
      <w:r w:rsidR="00E1495A">
        <w:rPr>
          <w:rFonts w:ascii="Times New Roman" w:hAnsi="Times New Roman"/>
          <w:sz w:val="24"/>
          <w:szCs w:val="24"/>
        </w:rPr>
        <w:t xml:space="preserve">for example </w:t>
      </w:r>
      <w:r w:rsidRPr="007E067B">
        <w:rPr>
          <w:rFonts w:ascii="Times New Roman" w:hAnsi="Times New Roman"/>
          <w:sz w:val="24"/>
          <w:szCs w:val="24"/>
        </w:rPr>
        <w:t>found that teachers generally felt that M</w:t>
      </w:r>
      <w:r w:rsidR="008A155F">
        <w:rPr>
          <w:rFonts w:ascii="Times New Roman" w:hAnsi="Times New Roman"/>
          <w:sz w:val="24"/>
          <w:szCs w:val="24"/>
        </w:rPr>
        <w:t>O</w:t>
      </w:r>
      <w:r w:rsidRPr="007E067B">
        <w:rPr>
          <w:rFonts w:ascii="Times New Roman" w:hAnsi="Times New Roman"/>
          <w:sz w:val="24"/>
          <w:szCs w:val="24"/>
        </w:rPr>
        <w:t>EHE training no longer meeting their needs, in that it was too focused on subject area</w:t>
      </w:r>
      <w:r>
        <w:t xml:space="preserve"> </w:t>
      </w:r>
      <w:r w:rsidRPr="007E067B">
        <w:rPr>
          <w:rFonts w:ascii="Times New Roman" w:hAnsi="Times New Roman"/>
          <w:sz w:val="24"/>
          <w:szCs w:val="24"/>
        </w:rPr>
        <w:t>knowledge and theory, with insufficient emphasis on practical issues</w:t>
      </w:r>
      <w:r w:rsidR="00D82DA8">
        <w:rPr>
          <w:rFonts w:ascii="Times New Roman" w:hAnsi="Times New Roman"/>
          <w:sz w:val="24"/>
          <w:szCs w:val="24"/>
        </w:rPr>
        <w:t>. Teachers are therefore not involved in the planning of in-service training opportunities with the result that content of training programmes is not aligned with what teachers want.</w:t>
      </w:r>
      <w:r w:rsidRPr="007E067B">
        <w:rPr>
          <w:rFonts w:ascii="Times New Roman" w:hAnsi="Times New Roman"/>
          <w:sz w:val="24"/>
          <w:szCs w:val="24"/>
        </w:rPr>
        <w:t xml:space="preserve"> Also, </w:t>
      </w:r>
      <w:r w:rsidR="00D82DA8">
        <w:rPr>
          <w:rFonts w:ascii="Times New Roman" w:hAnsi="Times New Roman"/>
          <w:sz w:val="24"/>
          <w:szCs w:val="24"/>
        </w:rPr>
        <w:t>these programmes do</w:t>
      </w:r>
      <w:r w:rsidRPr="007E067B">
        <w:rPr>
          <w:rFonts w:ascii="Times New Roman" w:hAnsi="Times New Roman"/>
          <w:sz w:val="24"/>
          <w:szCs w:val="24"/>
        </w:rPr>
        <w:t xml:space="preserve"> not contribute towards any form of certification or to </w:t>
      </w:r>
      <w:r w:rsidR="00A03BA0">
        <w:rPr>
          <w:rFonts w:ascii="Times New Roman" w:hAnsi="Times New Roman"/>
          <w:sz w:val="24"/>
          <w:szCs w:val="24"/>
        </w:rPr>
        <w:t xml:space="preserve">further </w:t>
      </w:r>
      <w:r w:rsidRPr="007E067B">
        <w:rPr>
          <w:rFonts w:ascii="Times New Roman" w:hAnsi="Times New Roman"/>
          <w:sz w:val="24"/>
          <w:szCs w:val="24"/>
        </w:rPr>
        <w:t>career advancement (Hasweh 2011</w:t>
      </w:r>
      <w:r w:rsidR="00E1495A">
        <w:rPr>
          <w:rFonts w:ascii="Times New Roman" w:hAnsi="Times New Roman"/>
          <w:sz w:val="24"/>
          <w:szCs w:val="24"/>
        </w:rPr>
        <w:t xml:space="preserve">). </w:t>
      </w:r>
    </w:p>
    <w:p w:rsidR="00B30272" w:rsidRDefault="001A0A93" w:rsidP="00551BC6">
      <w:pPr>
        <w:jc w:val="both"/>
        <w:rPr>
          <w:rFonts w:ascii="Times New Roman" w:hAnsi="Times New Roman"/>
          <w:sz w:val="24"/>
          <w:szCs w:val="24"/>
        </w:rPr>
      </w:pPr>
      <w:r>
        <w:rPr>
          <w:rFonts w:ascii="Times New Roman" w:hAnsi="Times New Roman"/>
          <w:sz w:val="24"/>
          <w:szCs w:val="24"/>
        </w:rPr>
        <w:t>Furthermore, e</w:t>
      </w:r>
      <w:r w:rsidR="00B30272" w:rsidRPr="007E067B">
        <w:rPr>
          <w:rFonts w:ascii="Times New Roman" w:hAnsi="Times New Roman"/>
          <w:sz w:val="24"/>
          <w:szCs w:val="24"/>
        </w:rPr>
        <w:t>vidence from several international reports on the education system in the West Bank and Gaza, as well as internal reports from the M</w:t>
      </w:r>
      <w:r>
        <w:rPr>
          <w:rFonts w:ascii="Times New Roman" w:hAnsi="Times New Roman"/>
          <w:sz w:val="24"/>
          <w:szCs w:val="24"/>
        </w:rPr>
        <w:t>O</w:t>
      </w:r>
      <w:r w:rsidR="00B30272" w:rsidRPr="007E067B">
        <w:rPr>
          <w:rFonts w:ascii="Times New Roman" w:hAnsi="Times New Roman"/>
          <w:sz w:val="24"/>
          <w:szCs w:val="24"/>
        </w:rPr>
        <w:t xml:space="preserve">EHE indicate that InSTTR in Palestine </w:t>
      </w:r>
      <w:r>
        <w:rPr>
          <w:rFonts w:ascii="Times New Roman" w:hAnsi="Times New Roman"/>
          <w:sz w:val="24"/>
          <w:szCs w:val="24"/>
        </w:rPr>
        <w:t xml:space="preserve">has not yet altered the professional practices, beliefs and understanding of teachers </w:t>
      </w:r>
      <w:r w:rsidR="00B30272" w:rsidRPr="007E067B">
        <w:rPr>
          <w:rFonts w:ascii="Times New Roman" w:hAnsi="Times New Roman"/>
          <w:sz w:val="24"/>
          <w:szCs w:val="24"/>
        </w:rPr>
        <w:t xml:space="preserve"> to use modern, child</w:t>
      </w:r>
      <w:r w:rsidR="00E1495A">
        <w:rPr>
          <w:rFonts w:ascii="Times New Roman" w:hAnsi="Times New Roman"/>
          <w:sz w:val="24"/>
          <w:szCs w:val="24"/>
        </w:rPr>
        <w:t>/learner</w:t>
      </w:r>
      <w:r w:rsidR="00B30272" w:rsidRPr="007E067B">
        <w:rPr>
          <w:rFonts w:ascii="Times New Roman" w:hAnsi="Times New Roman"/>
          <w:sz w:val="24"/>
          <w:szCs w:val="24"/>
        </w:rPr>
        <w:t xml:space="preserve"> focused teaching and assessment approaches in schools (Hasweh, 2011, UNICEF 2011, UNESCO, 2011).</w:t>
      </w:r>
    </w:p>
    <w:p w:rsidR="009D66DA" w:rsidRPr="00674AEE" w:rsidRDefault="009D66DA" w:rsidP="009D66DA">
      <w:pPr>
        <w:pStyle w:val="ListParagraph"/>
        <w:numPr>
          <w:ilvl w:val="0"/>
          <w:numId w:val="1"/>
        </w:numPr>
        <w:jc w:val="both"/>
        <w:rPr>
          <w:rFonts w:ascii="Times New Roman" w:hAnsi="Times New Roman"/>
          <w:sz w:val="24"/>
          <w:szCs w:val="24"/>
        </w:rPr>
      </w:pPr>
      <w:r w:rsidRPr="00674AEE">
        <w:rPr>
          <w:rFonts w:ascii="Times New Roman" w:hAnsi="Times New Roman"/>
          <w:b/>
          <w:sz w:val="24"/>
          <w:szCs w:val="24"/>
        </w:rPr>
        <w:t xml:space="preserve">Fragmented </w:t>
      </w:r>
      <w:r w:rsidR="00674AEE" w:rsidRPr="00674AEE">
        <w:rPr>
          <w:rFonts w:ascii="Times New Roman" w:hAnsi="Times New Roman"/>
          <w:b/>
          <w:sz w:val="24"/>
          <w:szCs w:val="24"/>
        </w:rPr>
        <w:t>nature of training provided</w:t>
      </w:r>
    </w:p>
    <w:p w:rsidR="00674AEE" w:rsidRDefault="00674AEE" w:rsidP="008A155F">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As mentioned earlier, a wide spectrum of in-service teacher training programmes are being implemented</w:t>
      </w:r>
      <w:r w:rsidR="00A03BA0">
        <w:rPr>
          <w:rFonts w:ascii="Times New Roman" w:hAnsi="Times New Roman"/>
          <w:sz w:val="24"/>
          <w:szCs w:val="24"/>
          <w:lang w:val="en-US"/>
        </w:rPr>
        <w:t xml:space="preserve"> by a variety of organisations.</w:t>
      </w:r>
      <w:r>
        <w:rPr>
          <w:rFonts w:ascii="Times New Roman" w:hAnsi="Times New Roman"/>
          <w:sz w:val="24"/>
          <w:szCs w:val="24"/>
          <w:lang w:val="en-US"/>
        </w:rPr>
        <w:t xml:space="preserve">  </w:t>
      </w:r>
      <w:r w:rsidRPr="00674AEE">
        <w:rPr>
          <w:rFonts w:ascii="Times New Roman" w:hAnsi="Times New Roman"/>
          <w:sz w:val="24"/>
          <w:szCs w:val="24"/>
          <w:lang w:val="en-US"/>
        </w:rPr>
        <w:t>Th</w:t>
      </w:r>
      <w:r w:rsidR="00A03BA0">
        <w:rPr>
          <w:rFonts w:ascii="Times New Roman" w:hAnsi="Times New Roman"/>
          <w:sz w:val="24"/>
          <w:szCs w:val="24"/>
          <w:lang w:val="en-US"/>
        </w:rPr>
        <w:t>is</w:t>
      </w:r>
      <w:r w:rsidRPr="00674AEE">
        <w:rPr>
          <w:rFonts w:ascii="Times New Roman" w:hAnsi="Times New Roman"/>
          <w:sz w:val="24"/>
          <w:szCs w:val="24"/>
          <w:lang w:val="en-US"/>
        </w:rPr>
        <w:t xml:space="preserve"> fragmented nature of INSTTR provision within Palestine makes it difficult to assess its effectiveness in moving towards the objectives of the TESP. As Hasweh (2011: 3) notes:</w:t>
      </w:r>
    </w:p>
    <w:p w:rsidR="00674AEE" w:rsidRPr="00A03D0C" w:rsidRDefault="00674AEE" w:rsidP="00A03D0C">
      <w:pPr>
        <w:autoSpaceDE w:val="0"/>
        <w:autoSpaceDN w:val="0"/>
        <w:adjustRightInd w:val="0"/>
        <w:spacing w:line="240" w:lineRule="auto"/>
        <w:ind w:left="709" w:right="804"/>
        <w:jc w:val="both"/>
        <w:rPr>
          <w:rFonts w:ascii="Times New Roman" w:hAnsi="Times New Roman"/>
          <w:i/>
          <w:sz w:val="24"/>
          <w:szCs w:val="24"/>
        </w:rPr>
      </w:pPr>
      <w:r>
        <w:rPr>
          <w:rFonts w:ascii="Times New Roman" w:hAnsi="Times New Roman"/>
          <w:sz w:val="24"/>
          <w:szCs w:val="24"/>
          <w:lang w:val="en-US"/>
        </w:rPr>
        <w:tab/>
      </w:r>
      <w:r w:rsidRPr="00A03D0C">
        <w:rPr>
          <w:rFonts w:ascii="Times New Roman" w:hAnsi="Times New Roman"/>
          <w:i/>
          <w:sz w:val="24"/>
          <w:szCs w:val="24"/>
          <w:lang w:val="en-US"/>
        </w:rPr>
        <w:t>“</w:t>
      </w:r>
      <w:r w:rsidR="002C19B1" w:rsidRPr="00A03D0C">
        <w:rPr>
          <w:rFonts w:ascii="Times New Roman" w:hAnsi="Times New Roman"/>
          <w:i/>
          <w:sz w:val="24"/>
          <w:szCs w:val="24"/>
          <w:lang w:val="en-US"/>
        </w:rPr>
        <w:t>The</w:t>
      </w:r>
      <w:r w:rsidRPr="00A03D0C">
        <w:rPr>
          <w:rFonts w:ascii="Times New Roman" w:hAnsi="Times New Roman"/>
          <w:i/>
          <w:sz w:val="24"/>
          <w:szCs w:val="24"/>
          <w:lang w:val="en-US"/>
        </w:rPr>
        <w:t xml:space="preserve"> absence of a comprehensive, detailed implementation plan and budget makes it </w:t>
      </w:r>
      <w:r w:rsidR="002C19B1" w:rsidRPr="00A03D0C">
        <w:rPr>
          <w:rFonts w:ascii="Times New Roman" w:hAnsi="Times New Roman"/>
          <w:i/>
          <w:sz w:val="24"/>
          <w:szCs w:val="24"/>
          <w:lang w:val="en-US"/>
        </w:rPr>
        <w:t>difficult to</w:t>
      </w:r>
      <w:r w:rsidRPr="00A03D0C">
        <w:rPr>
          <w:rFonts w:ascii="Times New Roman" w:hAnsi="Times New Roman"/>
          <w:i/>
          <w:sz w:val="24"/>
          <w:szCs w:val="24"/>
          <w:lang w:val="en-US"/>
        </w:rPr>
        <w:t xml:space="preserve"> follow the implementation process and difficult to identify who is responsible </w:t>
      </w:r>
      <w:r w:rsidRPr="00A03D0C">
        <w:rPr>
          <w:rFonts w:ascii="Times New Roman" w:hAnsi="Times New Roman"/>
          <w:i/>
          <w:sz w:val="24"/>
          <w:szCs w:val="24"/>
        </w:rPr>
        <w:t>for what and when”.</w:t>
      </w:r>
    </w:p>
    <w:p w:rsidR="00E75A2A" w:rsidRDefault="00A77C70" w:rsidP="00A77C70">
      <w:pPr>
        <w:jc w:val="both"/>
        <w:rPr>
          <w:rFonts w:ascii="Times New Roman" w:hAnsi="Times New Roman"/>
          <w:sz w:val="24"/>
          <w:szCs w:val="24"/>
        </w:rPr>
      </w:pPr>
      <w:r w:rsidRPr="009E625A">
        <w:rPr>
          <w:rFonts w:ascii="Times New Roman" w:hAnsi="Times New Roman"/>
          <w:sz w:val="24"/>
          <w:szCs w:val="24"/>
        </w:rPr>
        <w:t>Although there are</w:t>
      </w:r>
      <w:r w:rsidR="00E15CAC">
        <w:rPr>
          <w:rFonts w:ascii="Times New Roman" w:hAnsi="Times New Roman"/>
          <w:sz w:val="24"/>
          <w:szCs w:val="24"/>
        </w:rPr>
        <w:t>, as discussed, a large number of</w:t>
      </w:r>
      <w:r w:rsidRPr="009E625A">
        <w:rPr>
          <w:rFonts w:ascii="Times New Roman" w:hAnsi="Times New Roman"/>
          <w:sz w:val="24"/>
          <w:szCs w:val="24"/>
        </w:rPr>
        <w:t xml:space="preserve"> on-going opportunities for </w:t>
      </w:r>
      <w:r w:rsidR="00A03BA0">
        <w:rPr>
          <w:rFonts w:ascii="Times New Roman" w:hAnsi="Times New Roman"/>
          <w:sz w:val="24"/>
          <w:szCs w:val="24"/>
        </w:rPr>
        <w:t xml:space="preserve">the further professional development </w:t>
      </w:r>
      <w:r w:rsidRPr="009E625A">
        <w:rPr>
          <w:rFonts w:ascii="Times New Roman" w:hAnsi="Times New Roman"/>
          <w:sz w:val="24"/>
          <w:szCs w:val="24"/>
        </w:rPr>
        <w:t xml:space="preserve">of both teachers and trainers, a number of issues </w:t>
      </w:r>
      <w:r w:rsidR="008A155F">
        <w:rPr>
          <w:rFonts w:ascii="Times New Roman" w:hAnsi="Times New Roman"/>
          <w:sz w:val="24"/>
          <w:szCs w:val="24"/>
        </w:rPr>
        <w:t xml:space="preserve">regarding its fragmented nature </w:t>
      </w:r>
      <w:r w:rsidRPr="009E625A">
        <w:rPr>
          <w:rFonts w:ascii="Times New Roman" w:hAnsi="Times New Roman"/>
          <w:sz w:val="24"/>
          <w:szCs w:val="24"/>
        </w:rPr>
        <w:t xml:space="preserve">exist.  </w:t>
      </w:r>
    </w:p>
    <w:p w:rsidR="00C27567" w:rsidRDefault="00A77C70" w:rsidP="00A77C70">
      <w:pPr>
        <w:jc w:val="both"/>
        <w:rPr>
          <w:rFonts w:ascii="Times New Roman" w:hAnsi="Times New Roman"/>
          <w:sz w:val="24"/>
          <w:szCs w:val="24"/>
        </w:rPr>
      </w:pPr>
      <w:r w:rsidRPr="009E625A">
        <w:rPr>
          <w:rFonts w:ascii="Times New Roman" w:hAnsi="Times New Roman"/>
          <w:sz w:val="24"/>
          <w:szCs w:val="24"/>
        </w:rPr>
        <w:lastRenderedPageBreak/>
        <w:t xml:space="preserve">Firstly, </w:t>
      </w:r>
      <w:r>
        <w:rPr>
          <w:rFonts w:ascii="Times New Roman" w:hAnsi="Times New Roman"/>
          <w:sz w:val="24"/>
          <w:szCs w:val="24"/>
        </w:rPr>
        <w:t xml:space="preserve">as discussed earlier, </w:t>
      </w:r>
      <w:r w:rsidRPr="009E625A">
        <w:rPr>
          <w:rFonts w:ascii="Times New Roman" w:hAnsi="Times New Roman"/>
          <w:sz w:val="24"/>
          <w:szCs w:val="24"/>
        </w:rPr>
        <w:t xml:space="preserve">the geopolitical reality of the separation of the West </w:t>
      </w:r>
      <w:r w:rsidR="00E75A2A">
        <w:rPr>
          <w:rFonts w:ascii="Times New Roman" w:hAnsi="Times New Roman"/>
          <w:sz w:val="24"/>
          <w:szCs w:val="24"/>
        </w:rPr>
        <w:t>B</w:t>
      </w:r>
      <w:r w:rsidRPr="009E625A">
        <w:rPr>
          <w:rFonts w:ascii="Times New Roman" w:hAnsi="Times New Roman"/>
          <w:sz w:val="24"/>
          <w:szCs w:val="24"/>
        </w:rPr>
        <w:t xml:space="preserve">ank and Gaza has meant that is that it has not always proved possible for organisations to provide the same opportunities to teachers and trainers in Gaza as in the West Bank.  Furthermore, not all training courses and workshops are available in all districts.  </w:t>
      </w:r>
    </w:p>
    <w:p w:rsidR="00C27567" w:rsidRDefault="00C27567" w:rsidP="00A77C70">
      <w:pPr>
        <w:jc w:val="both"/>
        <w:rPr>
          <w:rFonts w:ascii="Times New Roman" w:hAnsi="Times New Roman"/>
          <w:sz w:val="24"/>
          <w:szCs w:val="24"/>
        </w:rPr>
      </w:pPr>
      <w:r>
        <w:rPr>
          <w:rFonts w:ascii="Times New Roman" w:hAnsi="Times New Roman"/>
          <w:sz w:val="24"/>
          <w:szCs w:val="24"/>
        </w:rPr>
        <w:t xml:space="preserve">The lack of a </w:t>
      </w:r>
      <w:r w:rsidR="00E15CAC">
        <w:rPr>
          <w:rFonts w:ascii="Times New Roman" w:hAnsi="Times New Roman"/>
          <w:sz w:val="24"/>
          <w:szCs w:val="24"/>
        </w:rPr>
        <w:t xml:space="preserve">framework for a coherent </w:t>
      </w:r>
      <w:r>
        <w:rPr>
          <w:rFonts w:ascii="Times New Roman" w:hAnsi="Times New Roman"/>
          <w:sz w:val="24"/>
          <w:szCs w:val="24"/>
        </w:rPr>
        <w:t xml:space="preserve">professional development programme that provides continuous sustained skills improvement opportunities and support for all teachers has </w:t>
      </w:r>
      <w:r w:rsidR="00E75A2A">
        <w:rPr>
          <w:rFonts w:ascii="Times New Roman" w:hAnsi="Times New Roman"/>
          <w:sz w:val="24"/>
          <w:szCs w:val="24"/>
        </w:rPr>
        <w:t xml:space="preserve">also </w:t>
      </w:r>
      <w:r>
        <w:rPr>
          <w:rFonts w:ascii="Times New Roman" w:hAnsi="Times New Roman"/>
          <w:sz w:val="24"/>
          <w:szCs w:val="24"/>
        </w:rPr>
        <w:t>contributed to the fragmentation of the impact of in-service training.  A</w:t>
      </w:r>
      <w:r w:rsidR="00A77C70" w:rsidRPr="009E625A">
        <w:rPr>
          <w:rFonts w:ascii="Times New Roman" w:hAnsi="Times New Roman"/>
          <w:sz w:val="24"/>
          <w:szCs w:val="24"/>
        </w:rPr>
        <w:t xml:space="preserve">lthough teachers may be trained to use more interactive child centred approaches in their teaching, the reality of teaching an overcrowded curriculum </w:t>
      </w:r>
      <w:r w:rsidR="00D82DA8">
        <w:rPr>
          <w:rFonts w:ascii="Times New Roman" w:hAnsi="Times New Roman"/>
          <w:sz w:val="24"/>
          <w:szCs w:val="24"/>
        </w:rPr>
        <w:t xml:space="preserve"> </w:t>
      </w:r>
      <w:r w:rsidR="00A77C70" w:rsidRPr="009E625A">
        <w:rPr>
          <w:rFonts w:ascii="Times New Roman" w:hAnsi="Times New Roman"/>
          <w:sz w:val="24"/>
          <w:szCs w:val="24"/>
        </w:rPr>
        <w:t xml:space="preserve">mean </w:t>
      </w:r>
      <w:r w:rsidR="00A03BA0">
        <w:rPr>
          <w:rFonts w:ascii="Times New Roman" w:hAnsi="Times New Roman"/>
          <w:sz w:val="24"/>
          <w:szCs w:val="24"/>
        </w:rPr>
        <w:t xml:space="preserve">that </w:t>
      </w:r>
      <w:r w:rsidR="00A77C70" w:rsidRPr="009E625A">
        <w:rPr>
          <w:rFonts w:ascii="Times New Roman" w:hAnsi="Times New Roman"/>
          <w:sz w:val="24"/>
          <w:szCs w:val="24"/>
        </w:rPr>
        <w:t xml:space="preserve">when teachers return to school the pressure to complete all the unit material in the course books makes it difficult for them to put into practice the </w:t>
      </w:r>
      <w:r>
        <w:rPr>
          <w:rFonts w:ascii="Times New Roman" w:hAnsi="Times New Roman"/>
          <w:sz w:val="24"/>
          <w:szCs w:val="24"/>
        </w:rPr>
        <w:t xml:space="preserve">innovative </w:t>
      </w:r>
      <w:r w:rsidR="00A77C70" w:rsidRPr="009E625A">
        <w:rPr>
          <w:rFonts w:ascii="Times New Roman" w:hAnsi="Times New Roman"/>
          <w:sz w:val="24"/>
          <w:szCs w:val="24"/>
        </w:rPr>
        <w:t xml:space="preserve">strategies that they have learned.   </w:t>
      </w:r>
    </w:p>
    <w:p w:rsidR="00C27567" w:rsidRDefault="00A77C70" w:rsidP="00A77C70">
      <w:pPr>
        <w:jc w:val="both"/>
        <w:rPr>
          <w:rFonts w:ascii="Times New Roman" w:hAnsi="Times New Roman"/>
          <w:sz w:val="24"/>
          <w:szCs w:val="24"/>
        </w:rPr>
      </w:pPr>
      <w:r w:rsidRPr="009E625A">
        <w:rPr>
          <w:rFonts w:ascii="Times New Roman" w:hAnsi="Times New Roman"/>
          <w:sz w:val="24"/>
          <w:szCs w:val="24"/>
        </w:rPr>
        <w:t xml:space="preserve">A further issue is that, thus far, most workshops do not contribute towards any formal qualification or recognition through, for example, promotion or salary increments. </w:t>
      </w:r>
      <w:r w:rsidR="00C27567">
        <w:rPr>
          <w:rFonts w:ascii="Times New Roman" w:hAnsi="Times New Roman"/>
          <w:sz w:val="24"/>
          <w:szCs w:val="24"/>
        </w:rPr>
        <w:t>The lack therefore of a proper accreditation and rational teacher certification programme with coherent career advancement paths means that</w:t>
      </w:r>
      <w:r w:rsidRPr="009E625A">
        <w:rPr>
          <w:rFonts w:ascii="Times New Roman" w:hAnsi="Times New Roman"/>
          <w:sz w:val="24"/>
          <w:szCs w:val="24"/>
        </w:rPr>
        <w:t xml:space="preserve"> only the most motivated and enthusiastic teachers may wish to attend courses and workshops.  This has meant that in some cases the same trainers or teachers attend multiple courses, while a larger number of teachers who could benefit from in-service training have not received it. </w:t>
      </w:r>
    </w:p>
    <w:p w:rsidR="00B30272" w:rsidRDefault="008A155F" w:rsidP="006B724A">
      <w:pPr>
        <w:jc w:val="both"/>
        <w:rPr>
          <w:rFonts w:ascii="Times New Roman" w:hAnsi="Times New Roman"/>
          <w:sz w:val="24"/>
          <w:szCs w:val="24"/>
        </w:rPr>
      </w:pPr>
      <w:r>
        <w:rPr>
          <w:rFonts w:ascii="Times New Roman" w:hAnsi="Times New Roman"/>
          <w:sz w:val="24"/>
          <w:szCs w:val="24"/>
        </w:rPr>
        <w:t>As mentioned earlier</w:t>
      </w:r>
      <w:r w:rsidR="00116779">
        <w:rPr>
          <w:rFonts w:ascii="Times New Roman" w:hAnsi="Times New Roman"/>
          <w:sz w:val="24"/>
          <w:szCs w:val="24"/>
        </w:rPr>
        <w:t xml:space="preserve"> t</w:t>
      </w:r>
      <w:r w:rsidR="00A03BA0">
        <w:rPr>
          <w:rFonts w:ascii="Times New Roman" w:hAnsi="Times New Roman"/>
          <w:sz w:val="24"/>
          <w:szCs w:val="24"/>
        </w:rPr>
        <w:t xml:space="preserve">he cascade framework within which especially the Ministry’s training programmes </w:t>
      </w:r>
      <w:r w:rsidR="00C27567">
        <w:rPr>
          <w:rFonts w:ascii="Times New Roman" w:hAnsi="Times New Roman"/>
          <w:sz w:val="24"/>
          <w:szCs w:val="24"/>
        </w:rPr>
        <w:t>is presented has also contributed to the fragmentation and dilution of the training by the time it reaches its intended beneficiaries</w:t>
      </w:r>
      <w:r w:rsidR="00DF6DA5">
        <w:rPr>
          <w:rFonts w:ascii="Times New Roman" w:hAnsi="Times New Roman"/>
          <w:sz w:val="24"/>
          <w:szCs w:val="24"/>
        </w:rPr>
        <w:t xml:space="preserve"> (MOEHE, 2006)</w:t>
      </w:r>
      <w:r w:rsidR="00E75A2A">
        <w:rPr>
          <w:rFonts w:ascii="Times New Roman" w:hAnsi="Times New Roman"/>
          <w:sz w:val="24"/>
          <w:szCs w:val="24"/>
        </w:rPr>
        <w:t>.</w:t>
      </w:r>
      <w:r w:rsidR="00116779">
        <w:rPr>
          <w:rFonts w:ascii="Times New Roman" w:hAnsi="Times New Roman"/>
          <w:sz w:val="24"/>
          <w:szCs w:val="24"/>
        </w:rPr>
        <w:t xml:space="preserve"> </w:t>
      </w:r>
      <w:r w:rsidR="00DF6DA5">
        <w:rPr>
          <w:rFonts w:ascii="Times New Roman" w:hAnsi="Times New Roman"/>
          <w:sz w:val="24"/>
          <w:szCs w:val="24"/>
        </w:rPr>
        <w:t>Furthermore some of the in-service training opportunities provided by donors and/or NGOs focus on some specific teaching and learning areas and are often narrow in focus rather than systemic in nature and have benefitted only a small number of teachers in specific schools rather than teachers as a whole (USAID, 2010).</w:t>
      </w:r>
    </w:p>
    <w:p w:rsidR="00B30272" w:rsidRPr="00EE2FE4" w:rsidRDefault="00B30272" w:rsidP="006B724A">
      <w:pPr>
        <w:jc w:val="both"/>
        <w:rPr>
          <w:rFonts w:ascii="Times New Roman" w:hAnsi="Times New Roman"/>
          <w:b/>
          <w:sz w:val="24"/>
          <w:szCs w:val="24"/>
        </w:rPr>
      </w:pPr>
      <w:r w:rsidRPr="00EE2FE4">
        <w:rPr>
          <w:rFonts w:ascii="Times New Roman" w:hAnsi="Times New Roman"/>
          <w:b/>
          <w:sz w:val="24"/>
          <w:szCs w:val="24"/>
        </w:rPr>
        <w:t>Discussion</w:t>
      </w:r>
      <w:r w:rsidR="00B67AA3" w:rsidRPr="00EE2FE4">
        <w:rPr>
          <w:rFonts w:ascii="Times New Roman" w:hAnsi="Times New Roman"/>
          <w:b/>
          <w:sz w:val="24"/>
          <w:szCs w:val="24"/>
        </w:rPr>
        <w:t xml:space="preserve"> and concluding remarks</w:t>
      </w:r>
    </w:p>
    <w:p w:rsidR="00B64B8F" w:rsidRDefault="00EE2FE4" w:rsidP="006B724A">
      <w:pPr>
        <w:jc w:val="both"/>
        <w:rPr>
          <w:rFonts w:ascii="Times New Roman" w:hAnsi="Times New Roman"/>
          <w:sz w:val="24"/>
          <w:szCs w:val="24"/>
        </w:rPr>
      </w:pPr>
      <w:r>
        <w:rPr>
          <w:rFonts w:ascii="Times New Roman" w:hAnsi="Times New Roman"/>
          <w:sz w:val="24"/>
          <w:szCs w:val="24"/>
        </w:rPr>
        <w:t xml:space="preserve">There is no doubt that, despite </w:t>
      </w:r>
      <w:r w:rsidR="00B75BC7">
        <w:rPr>
          <w:rFonts w:ascii="Times New Roman" w:hAnsi="Times New Roman"/>
          <w:sz w:val="24"/>
          <w:szCs w:val="24"/>
        </w:rPr>
        <w:t>the complex Palestinian geo-political context,</w:t>
      </w:r>
      <w:r>
        <w:rPr>
          <w:rFonts w:ascii="Times New Roman" w:hAnsi="Times New Roman"/>
          <w:sz w:val="24"/>
          <w:szCs w:val="24"/>
        </w:rPr>
        <w:t xml:space="preserve"> much has been achieved regarding the </w:t>
      </w:r>
      <w:r w:rsidR="00B75BC7">
        <w:rPr>
          <w:rFonts w:ascii="Times New Roman" w:hAnsi="Times New Roman"/>
          <w:sz w:val="24"/>
          <w:szCs w:val="24"/>
        </w:rPr>
        <w:t xml:space="preserve">further improvement and </w:t>
      </w:r>
      <w:r>
        <w:rPr>
          <w:rFonts w:ascii="Times New Roman" w:hAnsi="Times New Roman"/>
          <w:sz w:val="24"/>
          <w:szCs w:val="24"/>
        </w:rPr>
        <w:t xml:space="preserve">development of teacher qualifications and the quality of teaching in schools and classrooms in Palestine </w:t>
      </w:r>
      <w:r w:rsidR="00B75BC7">
        <w:rPr>
          <w:rFonts w:ascii="Times New Roman" w:hAnsi="Times New Roman"/>
          <w:sz w:val="24"/>
          <w:szCs w:val="24"/>
        </w:rPr>
        <w:t>in the period 2005 to 2013.</w:t>
      </w:r>
      <w:r>
        <w:rPr>
          <w:rFonts w:ascii="Times New Roman" w:hAnsi="Times New Roman"/>
          <w:sz w:val="24"/>
          <w:szCs w:val="24"/>
        </w:rPr>
        <w:t xml:space="preserve">  </w:t>
      </w:r>
      <w:r w:rsidR="00B463DA">
        <w:rPr>
          <w:rFonts w:ascii="Times New Roman" w:hAnsi="Times New Roman"/>
          <w:sz w:val="24"/>
          <w:szCs w:val="24"/>
        </w:rPr>
        <w:t xml:space="preserve">Education has been and continues to be a priority for the further development of a vibrant and stable Palestinian society.  </w:t>
      </w:r>
      <w:r w:rsidR="00B75BC7">
        <w:rPr>
          <w:rFonts w:ascii="Times New Roman" w:hAnsi="Times New Roman"/>
          <w:sz w:val="24"/>
          <w:szCs w:val="24"/>
        </w:rPr>
        <w:t xml:space="preserve">Systematic efforts to bring about an improvement in teachers’ qualification levels and their classroom practices have </w:t>
      </w:r>
      <w:r w:rsidR="00B463DA">
        <w:rPr>
          <w:rFonts w:ascii="Times New Roman" w:hAnsi="Times New Roman"/>
          <w:sz w:val="24"/>
          <w:szCs w:val="24"/>
        </w:rPr>
        <w:t xml:space="preserve">clearly </w:t>
      </w:r>
      <w:r w:rsidR="00B75BC7">
        <w:rPr>
          <w:rFonts w:ascii="Times New Roman" w:hAnsi="Times New Roman"/>
          <w:sz w:val="24"/>
          <w:szCs w:val="24"/>
        </w:rPr>
        <w:t xml:space="preserve">increased in the past eight years. </w:t>
      </w:r>
    </w:p>
    <w:p w:rsidR="00FB2957" w:rsidRDefault="00FF189F" w:rsidP="006B724A">
      <w:pPr>
        <w:jc w:val="both"/>
        <w:rPr>
          <w:rFonts w:ascii="Times New Roman" w:hAnsi="Times New Roman"/>
          <w:sz w:val="24"/>
          <w:szCs w:val="24"/>
        </w:rPr>
      </w:pPr>
      <w:r>
        <w:rPr>
          <w:rFonts w:ascii="Times New Roman" w:hAnsi="Times New Roman"/>
          <w:sz w:val="24"/>
          <w:szCs w:val="24"/>
        </w:rPr>
        <w:t>T</w:t>
      </w:r>
      <w:r w:rsidR="00B75BC7">
        <w:rPr>
          <w:rFonts w:ascii="Times New Roman" w:hAnsi="Times New Roman"/>
          <w:sz w:val="24"/>
          <w:szCs w:val="24"/>
        </w:rPr>
        <w:t>he</w:t>
      </w:r>
      <w:r>
        <w:rPr>
          <w:rFonts w:ascii="Times New Roman" w:hAnsi="Times New Roman"/>
          <w:sz w:val="24"/>
          <w:szCs w:val="24"/>
        </w:rPr>
        <w:t xml:space="preserve"> </w:t>
      </w:r>
      <w:r w:rsidR="00FB2957">
        <w:rPr>
          <w:rFonts w:ascii="Times New Roman" w:hAnsi="Times New Roman"/>
          <w:sz w:val="24"/>
          <w:szCs w:val="24"/>
        </w:rPr>
        <w:t>impact</w:t>
      </w:r>
      <w:r>
        <w:rPr>
          <w:rFonts w:ascii="Times New Roman" w:hAnsi="Times New Roman"/>
          <w:sz w:val="24"/>
          <w:szCs w:val="24"/>
        </w:rPr>
        <w:t xml:space="preserve"> of professional development opportunities for in-service teachers should however be considered in the context of the nature and quality</w:t>
      </w:r>
      <w:r w:rsidR="00B75BC7">
        <w:rPr>
          <w:rFonts w:ascii="Times New Roman" w:hAnsi="Times New Roman"/>
          <w:sz w:val="24"/>
          <w:szCs w:val="24"/>
        </w:rPr>
        <w:t xml:space="preserve"> of these in-service programmes</w:t>
      </w:r>
      <w:r w:rsidR="00D82DA8">
        <w:rPr>
          <w:rFonts w:ascii="Times New Roman" w:hAnsi="Times New Roman"/>
          <w:sz w:val="24"/>
          <w:szCs w:val="24"/>
        </w:rPr>
        <w:t xml:space="preserve"> and its relation to significant change in the day-to-day practice in classrooms and students’ learning outcomes</w:t>
      </w:r>
      <w:r>
        <w:rPr>
          <w:rFonts w:ascii="Times New Roman" w:hAnsi="Times New Roman"/>
          <w:sz w:val="24"/>
          <w:szCs w:val="24"/>
        </w:rPr>
        <w:t xml:space="preserve">.  Identified </w:t>
      </w:r>
      <w:r w:rsidR="00B75BC7">
        <w:rPr>
          <w:rFonts w:ascii="Times New Roman" w:hAnsi="Times New Roman"/>
          <w:sz w:val="24"/>
          <w:szCs w:val="24"/>
        </w:rPr>
        <w:t xml:space="preserve">challenges </w:t>
      </w:r>
      <w:r>
        <w:rPr>
          <w:rFonts w:ascii="Times New Roman" w:hAnsi="Times New Roman"/>
          <w:sz w:val="24"/>
          <w:szCs w:val="24"/>
        </w:rPr>
        <w:t xml:space="preserve">in this regard </w:t>
      </w:r>
      <w:r w:rsidR="00B75BC7">
        <w:rPr>
          <w:rFonts w:ascii="Times New Roman" w:hAnsi="Times New Roman"/>
          <w:sz w:val="24"/>
          <w:szCs w:val="24"/>
        </w:rPr>
        <w:t xml:space="preserve">all relate to what has been identified in the literature as specific characteristics of </w:t>
      </w:r>
      <w:r w:rsidR="00B64B8F">
        <w:rPr>
          <w:rFonts w:ascii="Times New Roman" w:hAnsi="Times New Roman"/>
          <w:sz w:val="24"/>
          <w:szCs w:val="24"/>
        </w:rPr>
        <w:t>what can be regarded as good quality professional education</w:t>
      </w:r>
      <w:r w:rsidR="001A0A93">
        <w:rPr>
          <w:rFonts w:ascii="Times New Roman" w:hAnsi="Times New Roman"/>
          <w:sz w:val="24"/>
          <w:szCs w:val="24"/>
        </w:rPr>
        <w:t>al</w:t>
      </w:r>
      <w:r w:rsidR="00B64B8F">
        <w:rPr>
          <w:rFonts w:ascii="Times New Roman" w:hAnsi="Times New Roman"/>
          <w:sz w:val="24"/>
          <w:szCs w:val="24"/>
        </w:rPr>
        <w:t xml:space="preserve"> opportunities for </w:t>
      </w:r>
      <w:r w:rsidR="00B463DA">
        <w:rPr>
          <w:rFonts w:ascii="Times New Roman" w:hAnsi="Times New Roman"/>
          <w:sz w:val="24"/>
          <w:szCs w:val="24"/>
        </w:rPr>
        <w:t xml:space="preserve">in-service </w:t>
      </w:r>
      <w:r w:rsidR="00B64B8F">
        <w:rPr>
          <w:rFonts w:ascii="Times New Roman" w:hAnsi="Times New Roman"/>
          <w:sz w:val="24"/>
          <w:szCs w:val="24"/>
        </w:rPr>
        <w:t xml:space="preserve">teachers.  According to Desimone et al. (2002) these characteristics include a focus on specific content and  how students learn; in-depth, active </w:t>
      </w:r>
      <w:r w:rsidR="00B463DA">
        <w:rPr>
          <w:rFonts w:ascii="Times New Roman" w:hAnsi="Times New Roman"/>
          <w:sz w:val="24"/>
          <w:szCs w:val="24"/>
        </w:rPr>
        <w:lastRenderedPageBreak/>
        <w:t xml:space="preserve">collaborative </w:t>
      </w:r>
      <w:r w:rsidR="00B64B8F">
        <w:rPr>
          <w:rFonts w:ascii="Times New Roman" w:hAnsi="Times New Roman"/>
          <w:sz w:val="24"/>
          <w:szCs w:val="24"/>
        </w:rPr>
        <w:t>learning opportunities</w:t>
      </w:r>
      <w:r w:rsidR="008A155F">
        <w:rPr>
          <w:rFonts w:ascii="Times New Roman" w:hAnsi="Times New Roman"/>
          <w:sz w:val="24"/>
          <w:szCs w:val="24"/>
        </w:rPr>
        <w:t xml:space="preserve"> for the teachers involved</w:t>
      </w:r>
      <w:r w:rsidR="00B64B8F">
        <w:rPr>
          <w:rFonts w:ascii="Times New Roman" w:hAnsi="Times New Roman"/>
          <w:sz w:val="24"/>
          <w:szCs w:val="24"/>
        </w:rPr>
        <w:t>; links to high standards</w:t>
      </w:r>
      <w:r w:rsidR="00B75BC7">
        <w:rPr>
          <w:rFonts w:ascii="Times New Roman" w:hAnsi="Times New Roman"/>
          <w:sz w:val="24"/>
          <w:szCs w:val="24"/>
        </w:rPr>
        <w:t xml:space="preserve"> </w:t>
      </w:r>
      <w:r w:rsidR="00FA4FF5">
        <w:rPr>
          <w:rFonts w:ascii="Times New Roman" w:hAnsi="Times New Roman"/>
          <w:sz w:val="24"/>
          <w:szCs w:val="24"/>
        </w:rPr>
        <w:t xml:space="preserve">within classrooms </w:t>
      </w:r>
      <w:r w:rsidR="00B64B8F">
        <w:rPr>
          <w:rFonts w:ascii="Times New Roman" w:hAnsi="Times New Roman"/>
          <w:sz w:val="24"/>
          <w:szCs w:val="24"/>
        </w:rPr>
        <w:t xml:space="preserve">and opportunities for teachers to engage in leadership roles; extended duration; the collective participation of teachers from the same school and continued professional support for teachers in order to support the sustainability of the positive influence of these programmes on teachers’ classroom practices.  </w:t>
      </w:r>
      <w:r w:rsidR="00B75BC7">
        <w:rPr>
          <w:rFonts w:ascii="Times New Roman" w:hAnsi="Times New Roman"/>
          <w:sz w:val="24"/>
          <w:szCs w:val="24"/>
        </w:rPr>
        <w:t xml:space="preserve"> </w:t>
      </w:r>
      <w:r w:rsidR="00D82DA8">
        <w:rPr>
          <w:rFonts w:ascii="Times New Roman" w:hAnsi="Times New Roman"/>
          <w:sz w:val="24"/>
          <w:szCs w:val="24"/>
        </w:rPr>
        <w:t xml:space="preserve">Guskey (2002) </w:t>
      </w:r>
      <w:r w:rsidR="00FB2957">
        <w:rPr>
          <w:rFonts w:ascii="Times New Roman" w:hAnsi="Times New Roman"/>
          <w:sz w:val="24"/>
          <w:szCs w:val="24"/>
        </w:rPr>
        <w:t xml:space="preserve">also </w:t>
      </w:r>
      <w:r w:rsidR="00D82DA8">
        <w:rPr>
          <w:rFonts w:ascii="Times New Roman" w:hAnsi="Times New Roman"/>
          <w:sz w:val="24"/>
          <w:szCs w:val="24"/>
        </w:rPr>
        <w:t>points out that significant change</w:t>
      </w:r>
      <w:r w:rsidR="001A0A93">
        <w:rPr>
          <w:rFonts w:ascii="Times New Roman" w:hAnsi="Times New Roman"/>
          <w:sz w:val="24"/>
          <w:szCs w:val="24"/>
        </w:rPr>
        <w:t xml:space="preserve"> can only take place if teachers are motivated to engage in professional development that they believe </w:t>
      </w:r>
      <w:r>
        <w:rPr>
          <w:rFonts w:ascii="Times New Roman" w:hAnsi="Times New Roman"/>
          <w:sz w:val="24"/>
          <w:szCs w:val="24"/>
        </w:rPr>
        <w:t xml:space="preserve">are based on their own needs and that </w:t>
      </w:r>
      <w:r w:rsidR="001A0A93">
        <w:rPr>
          <w:rFonts w:ascii="Times New Roman" w:hAnsi="Times New Roman"/>
          <w:sz w:val="24"/>
          <w:szCs w:val="24"/>
        </w:rPr>
        <w:t>will exp</w:t>
      </w:r>
      <w:r w:rsidR="00FB2957">
        <w:rPr>
          <w:rFonts w:ascii="Times New Roman" w:hAnsi="Times New Roman"/>
          <w:sz w:val="24"/>
          <w:szCs w:val="24"/>
        </w:rPr>
        <w:t>and their knowledge and skills</w:t>
      </w:r>
      <w:r w:rsidR="001A0A93">
        <w:rPr>
          <w:rFonts w:ascii="Times New Roman" w:hAnsi="Times New Roman"/>
          <w:sz w:val="24"/>
          <w:szCs w:val="24"/>
        </w:rPr>
        <w:t xml:space="preserve"> and enhance their effectiveness with students. </w:t>
      </w:r>
    </w:p>
    <w:p w:rsidR="00EE2FE4" w:rsidRPr="00EE2FE4" w:rsidRDefault="00FF189F" w:rsidP="006B724A">
      <w:pPr>
        <w:jc w:val="both"/>
        <w:rPr>
          <w:rFonts w:ascii="Times New Roman" w:hAnsi="Times New Roman"/>
          <w:sz w:val="24"/>
          <w:szCs w:val="24"/>
        </w:rPr>
      </w:pPr>
      <w:r>
        <w:rPr>
          <w:rFonts w:ascii="Times New Roman" w:hAnsi="Times New Roman"/>
          <w:sz w:val="24"/>
          <w:szCs w:val="24"/>
        </w:rPr>
        <w:t xml:space="preserve">The fragmented nature of the different in-service teacher training programmes </w:t>
      </w:r>
      <w:r w:rsidR="003F4540">
        <w:rPr>
          <w:rFonts w:ascii="Times New Roman" w:hAnsi="Times New Roman"/>
          <w:sz w:val="24"/>
          <w:szCs w:val="24"/>
        </w:rPr>
        <w:t>presented by a variety of institutions and donors</w:t>
      </w:r>
      <w:r>
        <w:rPr>
          <w:rFonts w:ascii="Times New Roman" w:hAnsi="Times New Roman"/>
          <w:sz w:val="24"/>
          <w:szCs w:val="24"/>
        </w:rPr>
        <w:t xml:space="preserve"> in Palestine</w:t>
      </w:r>
      <w:r w:rsidR="008874F4">
        <w:rPr>
          <w:rFonts w:ascii="Times New Roman" w:hAnsi="Times New Roman"/>
          <w:sz w:val="24"/>
          <w:szCs w:val="24"/>
        </w:rPr>
        <w:t>,</w:t>
      </w:r>
      <w:r>
        <w:rPr>
          <w:rFonts w:ascii="Times New Roman" w:hAnsi="Times New Roman"/>
          <w:sz w:val="24"/>
          <w:szCs w:val="24"/>
        </w:rPr>
        <w:t xml:space="preserve"> the choice that the Ministry </w:t>
      </w:r>
      <w:r w:rsidR="008874F4">
        <w:rPr>
          <w:rFonts w:ascii="Times New Roman" w:hAnsi="Times New Roman"/>
          <w:sz w:val="24"/>
          <w:szCs w:val="24"/>
        </w:rPr>
        <w:t xml:space="preserve">continuously </w:t>
      </w:r>
      <w:r>
        <w:rPr>
          <w:rFonts w:ascii="Times New Roman" w:hAnsi="Times New Roman"/>
          <w:sz w:val="24"/>
          <w:szCs w:val="24"/>
        </w:rPr>
        <w:t>ha</w:t>
      </w:r>
      <w:r w:rsidR="008874F4">
        <w:rPr>
          <w:rFonts w:ascii="Times New Roman" w:hAnsi="Times New Roman"/>
          <w:sz w:val="24"/>
          <w:szCs w:val="24"/>
        </w:rPr>
        <w:t>s</w:t>
      </w:r>
      <w:r>
        <w:rPr>
          <w:rFonts w:ascii="Times New Roman" w:hAnsi="Times New Roman"/>
          <w:sz w:val="24"/>
          <w:szCs w:val="24"/>
        </w:rPr>
        <w:t xml:space="preserve"> to make </w:t>
      </w:r>
      <w:r w:rsidR="00FB2957">
        <w:rPr>
          <w:rFonts w:ascii="Times New Roman" w:hAnsi="Times New Roman"/>
          <w:sz w:val="24"/>
          <w:szCs w:val="24"/>
        </w:rPr>
        <w:t>between</w:t>
      </w:r>
      <w:r>
        <w:rPr>
          <w:rFonts w:ascii="Times New Roman" w:hAnsi="Times New Roman"/>
          <w:sz w:val="24"/>
          <w:szCs w:val="24"/>
        </w:rPr>
        <w:t xml:space="preserve"> serving a larger number of teachers with less focused and sustained professional de</w:t>
      </w:r>
      <w:r w:rsidR="008874F4">
        <w:rPr>
          <w:rFonts w:ascii="Times New Roman" w:hAnsi="Times New Roman"/>
          <w:sz w:val="24"/>
          <w:szCs w:val="24"/>
        </w:rPr>
        <w:t xml:space="preserve">velopment </w:t>
      </w:r>
      <w:r w:rsidR="00FB2957">
        <w:rPr>
          <w:rFonts w:ascii="Times New Roman" w:hAnsi="Times New Roman"/>
          <w:sz w:val="24"/>
          <w:szCs w:val="24"/>
        </w:rPr>
        <w:t xml:space="preserve">opportunities and </w:t>
      </w:r>
      <w:r w:rsidR="008874F4">
        <w:rPr>
          <w:rFonts w:ascii="Times New Roman" w:hAnsi="Times New Roman"/>
          <w:sz w:val="24"/>
          <w:szCs w:val="24"/>
        </w:rPr>
        <w:t xml:space="preserve">providing higher quality </w:t>
      </w:r>
      <w:r w:rsidR="0029376C">
        <w:rPr>
          <w:rFonts w:ascii="Times New Roman" w:hAnsi="Times New Roman"/>
          <w:sz w:val="24"/>
          <w:szCs w:val="24"/>
        </w:rPr>
        <w:t xml:space="preserve">more individualised </w:t>
      </w:r>
      <w:r w:rsidR="008874F4">
        <w:rPr>
          <w:rFonts w:ascii="Times New Roman" w:hAnsi="Times New Roman"/>
          <w:sz w:val="24"/>
          <w:szCs w:val="24"/>
        </w:rPr>
        <w:t xml:space="preserve">programmes for fewer teachers as well as a lack of adequate resources and funding sources </w:t>
      </w:r>
      <w:r w:rsidR="00FB2957">
        <w:rPr>
          <w:rFonts w:ascii="Times New Roman" w:hAnsi="Times New Roman"/>
          <w:sz w:val="24"/>
          <w:szCs w:val="24"/>
        </w:rPr>
        <w:t xml:space="preserve">provide evidence </w:t>
      </w:r>
      <w:r w:rsidR="00F933BB">
        <w:rPr>
          <w:rFonts w:ascii="Times New Roman" w:hAnsi="Times New Roman"/>
          <w:sz w:val="24"/>
          <w:szCs w:val="24"/>
        </w:rPr>
        <w:t xml:space="preserve">of the lack of </w:t>
      </w:r>
      <w:r w:rsidR="00FB2957">
        <w:rPr>
          <w:rFonts w:ascii="Times New Roman" w:hAnsi="Times New Roman"/>
          <w:sz w:val="24"/>
          <w:szCs w:val="24"/>
        </w:rPr>
        <w:t xml:space="preserve">a coordinated, coherent </w:t>
      </w:r>
      <w:r w:rsidR="003F4540">
        <w:rPr>
          <w:rFonts w:ascii="Times New Roman" w:hAnsi="Times New Roman"/>
          <w:sz w:val="24"/>
          <w:szCs w:val="24"/>
        </w:rPr>
        <w:t xml:space="preserve">and sustainable </w:t>
      </w:r>
      <w:r w:rsidR="00FB2957">
        <w:rPr>
          <w:rFonts w:ascii="Times New Roman" w:hAnsi="Times New Roman"/>
          <w:sz w:val="24"/>
          <w:szCs w:val="24"/>
        </w:rPr>
        <w:t xml:space="preserve">approach across all </w:t>
      </w:r>
      <w:r w:rsidR="00F933BB">
        <w:rPr>
          <w:rFonts w:ascii="Times New Roman" w:hAnsi="Times New Roman"/>
          <w:sz w:val="24"/>
          <w:szCs w:val="24"/>
        </w:rPr>
        <w:t xml:space="preserve">education </w:t>
      </w:r>
      <w:r w:rsidR="00FB2957">
        <w:rPr>
          <w:rFonts w:ascii="Times New Roman" w:hAnsi="Times New Roman"/>
          <w:sz w:val="24"/>
          <w:szCs w:val="24"/>
        </w:rPr>
        <w:t>sectors</w:t>
      </w:r>
      <w:r w:rsidR="00F933BB">
        <w:rPr>
          <w:rFonts w:ascii="Times New Roman" w:hAnsi="Times New Roman"/>
          <w:sz w:val="24"/>
          <w:szCs w:val="24"/>
        </w:rPr>
        <w:t>.</w:t>
      </w:r>
      <w:r w:rsidR="008874F4">
        <w:rPr>
          <w:rFonts w:ascii="Times New Roman" w:hAnsi="Times New Roman"/>
          <w:sz w:val="24"/>
          <w:szCs w:val="24"/>
        </w:rPr>
        <w:t xml:space="preserve"> </w:t>
      </w:r>
      <w:r w:rsidR="003F4540">
        <w:rPr>
          <w:rFonts w:ascii="Times New Roman" w:hAnsi="Times New Roman"/>
          <w:sz w:val="24"/>
          <w:szCs w:val="24"/>
        </w:rPr>
        <w:t>Careful attention to the expressed needs of teachers including career development opportunities as well the finalisation of a more comprehensive integrated national framework for in-service training and professional development</w:t>
      </w:r>
      <w:r w:rsidR="0029376C">
        <w:rPr>
          <w:rFonts w:ascii="Times New Roman" w:hAnsi="Times New Roman"/>
          <w:sz w:val="24"/>
          <w:szCs w:val="24"/>
        </w:rPr>
        <w:t xml:space="preserve"> that take situational and contextual variables into consideration </w:t>
      </w:r>
      <w:r w:rsidR="003F4540">
        <w:rPr>
          <w:rFonts w:ascii="Times New Roman" w:hAnsi="Times New Roman"/>
          <w:sz w:val="24"/>
          <w:szCs w:val="24"/>
        </w:rPr>
        <w:t xml:space="preserve">should therefore be finalised as a matter of urgency.  </w:t>
      </w:r>
      <w:r w:rsidR="00C31E91">
        <w:rPr>
          <w:rFonts w:ascii="Times New Roman" w:hAnsi="Times New Roman"/>
          <w:sz w:val="24"/>
          <w:szCs w:val="24"/>
        </w:rPr>
        <w:t>It is hoped that such an approach will contribute to change in the classroom practices of teachers, in their beliefs and perceptions of a more child-centred approach in teaching and learning and in the learning outcomes of all Palestinian students.</w:t>
      </w:r>
    </w:p>
    <w:p w:rsidR="00B30272" w:rsidRDefault="00B30272" w:rsidP="006B724A">
      <w:pPr>
        <w:jc w:val="both"/>
        <w:rPr>
          <w:rFonts w:ascii="Times New Roman" w:hAnsi="Times New Roman"/>
          <w:b/>
          <w:sz w:val="24"/>
          <w:szCs w:val="24"/>
        </w:rPr>
      </w:pPr>
    </w:p>
    <w:p w:rsidR="00B30272" w:rsidRDefault="00B30272" w:rsidP="006B724A">
      <w:pPr>
        <w:jc w:val="both"/>
        <w:rPr>
          <w:rFonts w:ascii="Times New Roman" w:hAnsi="Times New Roman"/>
          <w:b/>
          <w:sz w:val="24"/>
          <w:szCs w:val="24"/>
        </w:rPr>
      </w:pPr>
      <w:r>
        <w:rPr>
          <w:rFonts w:ascii="Times New Roman" w:hAnsi="Times New Roman"/>
          <w:b/>
          <w:sz w:val="24"/>
          <w:szCs w:val="24"/>
        </w:rPr>
        <w:t>References</w:t>
      </w:r>
    </w:p>
    <w:p w:rsidR="00B30272" w:rsidRDefault="00B30272" w:rsidP="006B724A">
      <w:pPr>
        <w:jc w:val="both"/>
        <w:rPr>
          <w:rFonts w:ascii="Times New Roman" w:hAnsi="Times New Roman"/>
          <w:sz w:val="24"/>
          <w:szCs w:val="24"/>
        </w:rPr>
      </w:pPr>
      <w:r>
        <w:rPr>
          <w:rFonts w:ascii="Times New Roman" w:hAnsi="Times New Roman"/>
          <w:sz w:val="24"/>
          <w:szCs w:val="24"/>
        </w:rPr>
        <w:t xml:space="preserve">Altinok, N. 2010. </w:t>
      </w:r>
      <w:r w:rsidRPr="00DF6DA5">
        <w:rPr>
          <w:rFonts w:ascii="Times New Roman" w:hAnsi="Times New Roman"/>
          <w:i/>
          <w:sz w:val="24"/>
          <w:szCs w:val="24"/>
        </w:rPr>
        <w:t>An analysis of school quality differences in Israel and Palestinian National Authority during the second Intifada.</w:t>
      </w:r>
      <w:r>
        <w:rPr>
          <w:rFonts w:ascii="Times New Roman" w:hAnsi="Times New Roman"/>
          <w:sz w:val="24"/>
          <w:szCs w:val="24"/>
        </w:rPr>
        <w:t xml:space="preserve">  Background paper prepared of the Education For All Global Monitoring Report 2011.  Paris: UNESCO. </w:t>
      </w:r>
    </w:p>
    <w:p w:rsidR="005A05C6" w:rsidRDefault="005A05C6" w:rsidP="006B724A">
      <w:pPr>
        <w:jc w:val="both"/>
        <w:rPr>
          <w:rFonts w:ascii="Times New Roman" w:hAnsi="Times New Roman"/>
          <w:sz w:val="24"/>
          <w:szCs w:val="24"/>
        </w:rPr>
      </w:pPr>
      <w:r>
        <w:rPr>
          <w:rFonts w:ascii="Times New Roman" w:hAnsi="Times New Roman"/>
          <w:sz w:val="24"/>
          <w:szCs w:val="24"/>
        </w:rPr>
        <w:t xml:space="preserve">Burke, A. &amp; Cuadra, E. 2013.  </w:t>
      </w:r>
      <w:r w:rsidRPr="00DF6DA5">
        <w:rPr>
          <w:rFonts w:ascii="Times New Roman" w:hAnsi="Times New Roman"/>
          <w:i/>
          <w:sz w:val="24"/>
          <w:szCs w:val="24"/>
        </w:rPr>
        <w:t>Lessons learned dur</w:t>
      </w:r>
      <w:r w:rsidR="00D66653" w:rsidRPr="00DF6DA5">
        <w:rPr>
          <w:rFonts w:ascii="Times New Roman" w:hAnsi="Times New Roman"/>
          <w:i/>
          <w:sz w:val="24"/>
          <w:szCs w:val="24"/>
        </w:rPr>
        <w:t>ing the implementation of the t</w:t>
      </w:r>
      <w:r w:rsidRPr="00DF6DA5">
        <w:rPr>
          <w:rFonts w:ascii="Times New Roman" w:hAnsi="Times New Roman"/>
          <w:i/>
          <w:sz w:val="24"/>
          <w:szCs w:val="24"/>
        </w:rPr>
        <w:t>eac</w:t>
      </w:r>
      <w:r w:rsidR="00D66653" w:rsidRPr="00DF6DA5">
        <w:rPr>
          <w:rFonts w:ascii="Times New Roman" w:hAnsi="Times New Roman"/>
          <w:i/>
          <w:sz w:val="24"/>
          <w:szCs w:val="24"/>
        </w:rPr>
        <w:t>h</w:t>
      </w:r>
      <w:r w:rsidRPr="00DF6DA5">
        <w:rPr>
          <w:rFonts w:ascii="Times New Roman" w:hAnsi="Times New Roman"/>
          <w:i/>
          <w:sz w:val="24"/>
          <w:szCs w:val="24"/>
        </w:rPr>
        <w:t>er education improvement project.</w:t>
      </w:r>
      <w:r w:rsidR="00D66653">
        <w:rPr>
          <w:rFonts w:ascii="Times New Roman" w:hAnsi="Times New Roman"/>
          <w:sz w:val="24"/>
          <w:szCs w:val="24"/>
        </w:rPr>
        <w:t xml:space="preserve">  Ramallah: paper prepared at the request of the Ministry of Education.</w:t>
      </w:r>
    </w:p>
    <w:p w:rsidR="007042E1" w:rsidRDefault="007042E1" w:rsidP="007042E1">
      <w:pPr>
        <w:ind w:left="720" w:hanging="720"/>
        <w:rPr>
          <w:rFonts w:ascii="Times New Roman" w:hAnsi="Times New Roman"/>
          <w:sz w:val="24"/>
        </w:rPr>
      </w:pPr>
      <w:r w:rsidRPr="00A03D0C">
        <w:rPr>
          <w:rFonts w:ascii="Times New Roman" w:hAnsi="Times New Roman"/>
          <w:sz w:val="24"/>
        </w:rPr>
        <w:t xml:space="preserve">Commission for Developing the Teaching Profession – CDTP, 2010. </w:t>
      </w:r>
      <w:r w:rsidRPr="00DF6DA5">
        <w:rPr>
          <w:rFonts w:ascii="Times New Roman" w:hAnsi="Times New Roman"/>
          <w:i/>
          <w:iCs/>
          <w:sz w:val="24"/>
        </w:rPr>
        <w:t>Professional Standards for New Teachers</w:t>
      </w:r>
      <w:r w:rsidRPr="00DF6DA5">
        <w:rPr>
          <w:rFonts w:ascii="Times New Roman" w:hAnsi="Times New Roman"/>
          <w:i/>
          <w:sz w:val="24"/>
        </w:rPr>
        <w:t xml:space="preserve"> (2010)</w:t>
      </w:r>
      <w:r w:rsidRPr="00A03D0C">
        <w:rPr>
          <w:rFonts w:ascii="Times New Roman" w:hAnsi="Times New Roman"/>
          <w:sz w:val="24"/>
        </w:rPr>
        <w:t>.  Ramallah, Palestine.</w:t>
      </w:r>
    </w:p>
    <w:p w:rsidR="00EE2FE4" w:rsidRPr="00EE2FE4" w:rsidRDefault="00EE2FE4" w:rsidP="007042E1">
      <w:pPr>
        <w:ind w:left="720" w:hanging="720"/>
        <w:rPr>
          <w:rFonts w:ascii="Times New Roman" w:hAnsi="Times New Roman"/>
          <w:sz w:val="24"/>
        </w:rPr>
      </w:pPr>
      <w:r>
        <w:rPr>
          <w:rFonts w:ascii="Times New Roman" w:hAnsi="Times New Roman"/>
          <w:sz w:val="24"/>
        </w:rPr>
        <w:t xml:space="preserve">Desimone, L.M., Porter, A.C., Garet, M.S., Suk Yoon, K. &amp; Birman, B.F. 2002.  Effects of professional development on teachers’ instruction: results from a three-year longitudinal study.  </w:t>
      </w:r>
      <w:r>
        <w:rPr>
          <w:rFonts w:ascii="Times New Roman" w:hAnsi="Times New Roman"/>
          <w:i/>
          <w:sz w:val="24"/>
        </w:rPr>
        <w:t xml:space="preserve">Educational Evaluation and Policy Analysis, </w:t>
      </w:r>
      <w:r>
        <w:rPr>
          <w:rFonts w:ascii="Times New Roman" w:hAnsi="Times New Roman"/>
          <w:sz w:val="24"/>
        </w:rPr>
        <w:t>24: 81-112.</w:t>
      </w:r>
    </w:p>
    <w:p w:rsidR="00DF6DA5" w:rsidRPr="00DF6DA5" w:rsidRDefault="00DF6DA5" w:rsidP="007042E1">
      <w:pPr>
        <w:ind w:left="720" w:hanging="720"/>
        <w:rPr>
          <w:rFonts w:ascii="Times New Roman" w:hAnsi="Times New Roman"/>
          <w:sz w:val="24"/>
        </w:rPr>
      </w:pPr>
      <w:r>
        <w:rPr>
          <w:rFonts w:ascii="Times New Roman" w:hAnsi="Times New Roman"/>
          <w:sz w:val="24"/>
        </w:rPr>
        <w:t xml:space="preserve">Guskey, T.R. </w:t>
      </w:r>
      <w:r w:rsidR="00914012">
        <w:rPr>
          <w:rFonts w:ascii="Times New Roman" w:hAnsi="Times New Roman"/>
          <w:sz w:val="24"/>
        </w:rPr>
        <w:t xml:space="preserve"> </w:t>
      </w:r>
      <w:r>
        <w:rPr>
          <w:rFonts w:ascii="Times New Roman" w:hAnsi="Times New Roman"/>
          <w:sz w:val="24"/>
        </w:rPr>
        <w:t>200</w:t>
      </w:r>
      <w:r w:rsidR="00914012">
        <w:rPr>
          <w:rFonts w:ascii="Times New Roman" w:hAnsi="Times New Roman"/>
          <w:sz w:val="24"/>
        </w:rPr>
        <w:t>2</w:t>
      </w:r>
      <w:r>
        <w:rPr>
          <w:rFonts w:ascii="Times New Roman" w:hAnsi="Times New Roman"/>
          <w:sz w:val="24"/>
        </w:rPr>
        <w:t xml:space="preserve">.  Professional development and teacher change.  </w:t>
      </w:r>
      <w:r>
        <w:rPr>
          <w:rFonts w:ascii="Times New Roman" w:hAnsi="Times New Roman"/>
          <w:i/>
          <w:sz w:val="24"/>
        </w:rPr>
        <w:t xml:space="preserve">Teachers and Teaching: Theory and Practice, </w:t>
      </w:r>
      <w:r>
        <w:rPr>
          <w:rFonts w:ascii="Times New Roman" w:hAnsi="Times New Roman"/>
          <w:sz w:val="24"/>
        </w:rPr>
        <w:t>8 (3): 381-391.</w:t>
      </w:r>
    </w:p>
    <w:p w:rsidR="00B30272" w:rsidRDefault="00B30272" w:rsidP="00EE2FE4">
      <w:pPr>
        <w:jc w:val="both"/>
        <w:rPr>
          <w:rFonts w:ascii="Times New Roman" w:hAnsi="Times New Roman"/>
          <w:sz w:val="24"/>
          <w:szCs w:val="24"/>
        </w:rPr>
      </w:pPr>
      <w:r>
        <w:rPr>
          <w:rFonts w:ascii="Times New Roman" w:hAnsi="Times New Roman"/>
          <w:sz w:val="24"/>
          <w:szCs w:val="24"/>
        </w:rPr>
        <w:t xml:space="preserve">Hasweh, M. 2011.  </w:t>
      </w:r>
      <w:r w:rsidRPr="00DF6DA5">
        <w:rPr>
          <w:rFonts w:ascii="Times New Roman" w:hAnsi="Times New Roman"/>
          <w:i/>
          <w:sz w:val="24"/>
          <w:szCs w:val="24"/>
        </w:rPr>
        <w:t>Palestinian Ministry of Education and Higher Education Teacher Education Strategy:  review of implementation status</w:t>
      </w:r>
      <w:r>
        <w:rPr>
          <w:rFonts w:ascii="Times New Roman" w:hAnsi="Times New Roman"/>
          <w:sz w:val="24"/>
          <w:szCs w:val="24"/>
        </w:rPr>
        <w:t>.  Ramallah: AMIDEAST.</w:t>
      </w:r>
    </w:p>
    <w:p w:rsidR="00B30272" w:rsidRDefault="00B30272" w:rsidP="006B724A">
      <w:pPr>
        <w:jc w:val="both"/>
        <w:rPr>
          <w:rFonts w:ascii="Times New Roman" w:hAnsi="Times New Roman"/>
          <w:sz w:val="24"/>
          <w:szCs w:val="24"/>
        </w:rPr>
      </w:pPr>
      <w:r>
        <w:rPr>
          <w:rFonts w:ascii="Times New Roman" w:hAnsi="Times New Roman"/>
          <w:sz w:val="24"/>
          <w:szCs w:val="24"/>
        </w:rPr>
        <w:lastRenderedPageBreak/>
        <w:t>Ministry of Education and Higher Education, Palestine</w:t>
      </w:r>
      <w:r w:rsidR="00343B36">
        <w:rPr>
          <w:rFonts w:ascii="Times New Roman" w:hAnsi="Times New Roman"/>
          <w:sz w:val="24"/>
          <w:szCs w:val="24"/>
        </w:rPr>
        <w:t xml:space="preserve"> (MOEHE)</w:t>
      </w:r>
      <w:r>
        <w:rPr>
          <w:rFonts w:ascii="Times New Roman" w:hAnsi="Times New Roman"/>
          <w:sz w:val="24"/>
          <w:szCs w:val="24"/>
        </w:rPr>
        <w:t xml:space="preserve">, 2006.  </w:t>
      </w:r>
      <w:r w:rsidRPr="00DF6DA5">
        <w:rPr>
          <w:rFonts w:ascii="Times New Roman" w:hAnsi="Times New Roman"/>
          <w:i/>
          <w:sz w:val="24"/>
          <w:szCs w:val="24"/>
        </w:rPr>
        <w:t xml:space="preserve">Education Action Project (TF 29747):  Evaluation of in-service teachers training.  </w:t>
      </w:r>
      <w:r>
        <w:rPr>
          <w:rFonts w:ascii="Times New Roman" w:hAnsi="Times New Roman"/>
          <w:sz w:val="24"/>
          <w:szCs w:val="24"/>
        </w:rPr>
        <w:t>Parts 1 and 2: Final evaluation report of the evaluation and findings of the evaluation.  British Council.</w:t>
      </w:r>
    </w:p>
    <w:p w:rsidR="007042E1" w:rsidRDefault="007042E1" w:rsidP="007042E1">
      <w:pPr>
        <w:ind w:left="720" w:hanging="720"/>
        <w:rPr>
          <w:rFonts w:ascii="Times New Roman" w:hAnsi="Times New Roman"/>
          <w:sz w:val="24"/>
        </w:rPr>
      </w:pPr>
      <w:r w:rsidRPr="00A03D0C">
        <w:rPr>
          <w:rFonts w:ascii="Times New Roman" w:hAnsi="Times New Roman"/>
          <w:sz w:val="24"/>
        </w:rPr>
        <w:t>Ministry of Education and Higher Education, 2008</w:t>
      </w:r>
      <w:r w:rsidR="00343B36">
        <w:rPr>
          <w:rFonts w:ascii="Times New Roman" w:hAnsi="Times New Roman"/>
          <w:sz w:val="24"/>
        </w:rPr>
        <w:t xml:space="preserve"> (a)</w:t>
      </w:r>
      <w:r w:rsidRPr="00A03D0C">
        <w:rPr>
          <w:rFonts w:ascii="Times New Roman" w:hAnsi="Times New Roman"/>
          <w:sz w:val="24"/>
        </w:rPr>
        <w:t xml:space="preserve">. </w:t>
      </w:r>
      <w:r w:rsidRPr="00DF6DA5">
        <w:rPr>
          <w:rFonts w:ascii="Times New Roman" w:hAnsi="Times New Roman"/>
          <w:i/>
          <w:iCs/>
          <w:sz w:val="24"/>
        </w:rPr>
        <w:t>Teacher Education Strategy in Palestine</w:t>
      </w:r>
      <w:r w:rsidR="00343B36" w:rsidRPr="00DF6DA5">
        <w:rPr>
          <w:rFonts w:ascii="Times New Roman" w:hAnsi="Times New Roman"/>
          <w:i/>
          <w:sz w:val="24"/>
        </w:rPr>
        <w:t xml:space="preserve"> (EDSP</w:t>
      </w:r>
      <w:r w:rsidR="00DF6DA5">
        <w:rPr>
          <w:rFonts w:ascii="Times New Roman" w:hAnsi="Times New Roman"/>
          <w:i/>
          <w:sz w:val="24"/>
        </w:rPr>
        <w:t>.</w:t>
      </w:r>
      <w:r w:rsidR="00343B36" w:rsidRPr="00DF6DA5">
        <w:rPr>
          <w:rFonts w:ascii="Times New Roman" w:hAnsi="Times New Roman"/>
          <w:i/>
          <w:sz w:val="24"/>
        </w:rPr>
        <w:t>)</w:t>
      </w:r>
      <w:r w:rsidRPr="00A03D0C">
        <w:rPr>
          <w:rFonts w:ascii="Times New Roman" w:hAnsi="Times New Roman"/>
          <w:sz w:val="24"/>
        </w:rPr>
        <w:t xml:space="preserve"> Ramallah, Palestine.</w:t>
      </w:r>
    </w:p>
    <w:p w:rsidR="00343B36" w:rsidRPr="00A03D0C" w:rsidRDefault="00343B36" w:rsidP="007042E1">
      <w:pPr>
        <w:ind w:left="720" w:hanging="720"/>
        <w:rPr>
          <w:rFonts w:ascii="Times New Roman" w:hAnsi="Times New Roman"/>
          <w:sz w:val="24"/>
        </w:rPr>
      </w:pPr>
      <w:r>
        <w:rPr>
          <w:rFonts w:ascii="Times New Roman" w:hAnsi="Times New Roman"/>
          <w:sz w:val="24"/>
        </w:rPr>
        <w:t xml:space="preserve">Ministry of Education and Higher Education, 2008) (b).  </w:t>
      </w:r>
      <w:r w:rsidRPr="00DF6DA5">
        <w:rPr>
          <w:rFonts w:ascii="Times New Roman" w:hAnsi="Times New Roman"/>
          <w:i/>
          <w:sz w:val="24"/>
        </w:rPr>
        <w:t xml:space="preserve">Education </w:t>
      </w:r>
      <w:r w:rsidR="00DF6DA5" w:rsidRPr="00DF6DA5">
        <w:rPr>
          <w:rFonts w:ascii="Times New Roman" w:hAnsi="Times New Roman"/>
          <w:i/>
          <w:sz w:val="24"/>
        </w:rPr>
        <w:t>D</w:t>
      </w:r>
      <w:r w:rsidRPr="00DF6DA5">
        <w:rPr>
          <w:rFonts w:ascii="Times New Roman" w:hAnsi="Times New Roman"/>
          <w:i/>
          <w:sz w:val="24"/>
        </w:rPr>
        <w:t xml:space="preserve">evelopment </w:t>
      </w:r>
      <w:r w:rsidR="00DF6DA5" w:rsidRPr="00DF6DA5">
        <w:rPr>
          <w:rFonts w:ascii="Times New Roman" w:hAnsi="Times New Roman"/>
          <w:i/>
          <w:sz w:val="24"/>
        </w:rPr>
        <w:t>S</w:t>
      </w:r>
      <w:r w:rsidRPr="00DF6DA5">
        <w:rPr>
          <w:rFonts w:ascii="Times New Roman" w:hAnsi="Times New Roman"/>
          <w:i/>
          <w:sz w:val="24"/>
        </w:rPr>
        <w:t xml:space="preserve">trategic </w:t>
      </w:r>
      <w:r w:rsidR="00DF6DA5" w:rsidRPr="00DF6DA5">
        <w:rPr>
          <w:rFonts w:ascii="Times New Roman" w:hAnsi="Times New Roman"/>
          <w:i/>
          <w:sz w:val="24"/>
        </w:rPr>
        <w:t>P</w:t>
      </w:r>
      <w:r w:rsidRPr="00DF6DA5">
        <w:rPr>
          <w:rFonts w:ascii="Times New Roman" w:hAnsi="Times New Roman"/>
          <w:i/>
          <w:sz w:val="24"/>
        </w:rPr>
        <w:t xml:space="preserve">lan 2008-2013.  </w:t>
      </w:r>
      <w:r>
        <w:rPr>
          <w:rFonts w:ascii="Times New Roman" w:hAnsi="Times New Roman"/>
          <w:sz w:val="24"/>
        </w:rPr>
        <w:t>Ramallah: Palestine.</w:t>
      </w:r>
    </w:p>
    <w:p w:rsidR="00B30272" w:rsidRDefault="00B30272" w:rsidP="006B724A">
      <w:pPr>
        <w:jc w:val="both"/>
        <w:rPr>
          <w:rFonts w:ascii="Times New Roman" w:hAnsi="Times New Roman"/>
          <w:sz w:val="24"/>
          <w:szCs w:val="24"/>
        </w:rPr>
      </w:pPr>
      <w:r>
        <w:rPr>
          <w:rFonts w:ascii="Times New Roman" w:hAnsi="Times New Roman"/>
          <w:sz w:val="24"/>
          <w:szCs w:val="24"/>
        </w:rPr>
        <w:t xml:space="preserve">UNESCO, 2011.  </w:t>
      </w:r>
      <w:r w:rsidRPr="00DF6DA5">
        <w:rPr>
          <w:rFonts w:ascii="Times New Roman" w:hAnsi="Times New Roman"/>
          <w:i/>
          <w:sz w:val="24"/>
          <w:szCs w:val="24"/>
        </w:rPr>
        <w:t xml:space="preserve">World </w:t>
      </w:r>
      <w:r w:rsidR="00DF6DA5" w:rsidRPr="00DF6DA5">
        <w:rPr>
          <w:rFonts w:ascii="Times New Roman" w:hAnsi="Times New Roman"/>
          <w:i/>
          <w:sz w:val="24"/>
          <w:szCs w:val="24"/>
        </w:rPr>
        <w:t>D</w:t>
      </w:r>
      <w:r w:rsidRPr="00DF6DA5">
        <w:rPr>
          <w:rFonts w:ascii="Times New Roman" w:hAnsi="Times New Roman"/>
          <w:i/>
          <w:sz w:val="24"/>
          <w:szCs w:val="24"/>
        </w:rPr>
        <w:t>ata on Education</w:t>
      </w:r>
      <w:r>
        <w:rPr>
          <w:rFonts w:ascii="Times New Roman" w:hAnsi="Times New Roman"/>
          <w:sz w:val="24"/>
          <w:szCs w:val="24"/>
        </w:rPr>
        <w:t>. VII Ed. 2010/2011.  Paris: UNESCO</w:t>
      </w:r>
    </w:p>
    <w:p w:rsidR="00B30272" w:rsidRDefault="00B30272" w:rsidP="006B724A">
      <w:pPr>
        <w:jc w:val="both"/>
        <w:rPr>
          <w:rFonts w:ascii="Times New Roman" w:hAnsi="Times New Roman"/>
          <w:sz w:val="24"/>
          <w:szCs w:val="24"/>
        </w:rPr>
      </w:pPr>
      <w:r>
        <w:rPr>
          <w:rFonts w:ascii="Times New Roman" w:hAnsi="Times New Roman"/>
          <w:sz w:val="24"/>
          <w:szCs w:val="24"/>
        </w:rPr>
        <w:t xml:space="preserve">UNICEF, 2011.  </w:t>
      </w:r>
      <w:r w:rsidRPr="00DF6DA5">
        <w:rPr>
          <w:rFonts w:ascii="Times New Roman" w:hAnsi="Times New Roman"/>
          <w:i/>
          <w:sz w:val="24"/>
          <w:szCs w:val="24"/>
        </w:rPr>
        <w:t>Child friendly schools.  Case study: Occupied Palestinian Territory</w:t>
      </w:r>
      <w:r>
        <w:rPr>
          <w:rFonts w:ascii="Times New Roman" w:hAnsi="Times New Roman"/>
          <w:sz w:val="24"/>
          <w:szCs w:val="24"/>
        </w:rPr>
        <w:t>.  UNICEF.</w:t>
      </w:r>
    </w:p>
    <w:p w:rsidR="00B30272" w:rsidRPr="00674304" w:rsidRDefault="00B30272" w:rsidP="006B724A">
      <w:pPr>
        <w:jc w:val="both"/>
        <w:rPr>
          <w:rFonts w:ascii="Times New Roman" w:hAnsi="Times New Roman"/>
          <w:sz w:val="24"/>
          <w:szCs w:val="24"/>
        </w:rPr>
      </w:pPr>
      <w:r>
        <w:rPr>
          <w:rFonts w:ascii="Times New Roman" w:hAnsi="Times New Roman"/>
          <w:sz w:val="24"/>
          <w:szCs w:val="24"/>
        </w:rPr>
        <w:t xml:space="preserve">USAID, 2010.  </w:t>
      </w:r>
      <w:r w:rsidRPr="00DF6DA5">
        <w:rPr>
          <w:rFonts w:ascii="Times New Roman" w:hAnsi="Times New Roman"/>
          <w:i/>
          <w:sz w:val="24"/>
          <w:szCs w:val="24"/>
        </w:rPr>
        <w:t>Institutional needs assessment of teacher training processes in West Bank and the Gaza strip.</w:t>
      </w:r>
      <w:r>
        <w:rPr>
          <w:rFonts w:ascii="Times New Roman" w:hAnsi="Times New Roman"/>
          <w:sz w:val="24"/>
          <w:szCs w:val="24"/>
        </w:rPr>
        <w:t xml:space="preserve">  Ramallah: USAID/West Bank.</w:t>
      </w:r>
    </w:p>
    <w:sectPr w:rsidR="00B30272" w:rsidRPr="00674304" w:rsidSect="00E459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3A" w:rsidRDefault="005C313A" w:rsidP="00EB4FA9">
      <w:pPr>
        <w:spacing w:after="0" w:line="240" w:lineRule="auto"/>
      </w:pPr>
      <w:r>
        <w:separator/>
      </w:r>
    </w:p>
  </w:endnote>
  <w:endnote w:type="continuationSeparator" w:id="0">
    <w:p w:rsidR="005C313A" w:rsidRDefault="005C313A" w:rsidP="00EB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61" w:rsidRDefault="00934B61">
    <w:pPr>
      <w:pStyle w:val="Footer"/>
      <w:jc w:val="center"/>
    </w:pPr>
    <w:r>
      <w:fldChar w:fldCharType="begin"/>
    </w:r>
    <w:r>
      <w:instrText xml:space="preserve"> PAGE   \* MERGEFORMAT </w:instrText>
    </w:r>
    <w:r>
      <w:fldChar w:fldCharType="separate"/>
    </w:r>
    <w:r w:rsidR="003E4400">
      <w:rPr>
        <w:noProof/>
      </w:rPr>
      <w:t>1</w:t>
    </w:r>
    <w:r>
      <w:rPr>
        <w:noProof/>
      </w:rPr>
      <w:fldChar w:fldCharType="end"/>
    </w:r>
  </w:p>
  <w:p w:rsidR="00934B61" w:rsidRDefault="0093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3A" w:rsidRDefault="005C313A" w:rsidP="00EB4FA9">
      <w:pPr>
        <w:spacing w:after="0" w:line="240" w:lineRule="auto"/>
      </w:pPr>
      <w:r>
        <w:separator/>
      </w:r>
    </w:p>
  </w:footnote>
  <w:footnote w:type="continuationSeparator" w:id="0">
    <w:p w:rsidR="005C313A" w:rsidRDefault="005C313A" w:rsidP="00EB4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774"/>
    <w:multiLevelType w:val="hybridMultilevel"/>
    <w:tmpl w:val="86A634EC"/>
    <w:lvl w:ilvl="0" w:tplc="70A02A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7A74631"/>
    <w:multiLevelType w:val="hybridMultilevel"/>
    <w:tmpl w:val="ECF29866"/>
    <w:lvl w:ilvl="0" w:tplc="822C5E88">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 w15:restartNumberingAfterBreak="0">
    <w:nsid w:val="3D285F30"/>
    <w:multiLevelType w:val="hybridMultilevel"/>
    <w:tmpl w:val="FF504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F03646"/>
    <w:multiLevelType w:val="hybridMultilevel"/>
    <w:tmpl w:val="B68E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4A"/>
    <w:rsid w:val="000252C7"/>
    <w:rsid w:val="00032559"/>
    <w:rsid w:val="0007794E"/>
    <w:rsid w:val="000B5C18"/>
    <w:rsid w:val="000B6119"/>
    <w:rsid w:val="0010570C"/>
    <w:rsid w:val="00107CFA"/>
    <w:rsid w:val="00116779"/>
    <w:rsid w:val="00141137"/>
    <w:rsid w:val="00147E8D"/>
    <w:rsid w:val="00190ED8"/>
    <w:rsid w:val="001964D6"/>
    <w:rsid w:val="00196ACF"/>
    <w:rsid w:val="001A0A93"/>
    <w:rsid w:val="001D05F8"/>
    <w:rsid w:val="001D0791"/>
    <w:rsid w:val="001D1CC6"/>
    <w:rsid w:val="001E737F"/>
    <w:rsid w:val="00245918"/>
    <w:rsid w:val="002677E5"/>
    <w:rsid w:val="00273A8A"/>
    <w:rsid w:val="00276B2E"/>
    <w:rsid w:val="0029376C"/>
    <w:rsid w:val="002A3BDF"/>
    <w:rsid w:val="002C19B1"/>
    <w:rsid w:val="00317F4E"/>
    <w:rsid w:val="00332566"/>
    <w:rsid w:val="00343B36"/>
    <w:rsid w:val="00356D89"/>
    <w:rsid w:val="0037728C"/>
    <w:rsid w:val="003B5B34"/>
    <w:rsid w:val="003D4795"/>
    <w:rsid w:val="003E3973"/>
    <w:rsid w:val="003E4400"/>
    <w:rsid w:val="003F4540"/>
    <w:rsid w:val="003F7139"/>
    <w:rsid w:val="004532C0"/>
    <w:rsid w:val="00454504"/>
    <w:rsid w:val="004568D8"/>
    <w:rsid w:val="004663B7"/>
    <w:rsid w:val="004A3793"/>
    <w:rsid w:val="004B2A2B"/>
    <w:rsid w:val="004F53FA"/>
    <w:rsid w:val="0050310F"/>
    <w:rsid w:val="00507832"/>
    <w:rsid w:val="00511AB4"/>
    <w:rsid w:val="00527389"/>
    <w:rsid w:val="0053255F"/>
    <w:rsid w:val="00551BC6"/>
    <w:rsid w:val="00574593"/>
    <w:rsid w:val="00574C88"/>
    <w:rsid w:val="00583648"/>
    <w:rsid w:val="005A05C6"/>
    <w:rsid w:val="005A3EAB"/>
    <w:rsid w:val="005C313A"/>
    <w:rsid w:val="0065295E"/>
    <w:rsid w:val="00674304"/>
    <w:rsid w:val="00674AEE"/>
    <w:rsid w:val="006B724A"/>
    <w:rsid w:val="006C3F1E"/>
    <w:rsid w:val="006C41B6"/>
    <w:rsid w:val="006E4EF2"/>
    <w:rsid w:val="006F3C6B"/>
    <w:rsid w:val="007042E1"/>
    <w:rsid w:val="00726F10"/>
    <w:rsid w:val="00750DCA"/>
    <w:rsid w:val="00764B4B"/>
    <w:rsid w:val="00765758"/>
    <w:rsid w:val="007721BA"/>
    <w:rsid w:val="0079601E"/>
    <w:rsid w:val="007C4B39"/>
    <w:rsid w:val="007E067B"/>
    <w:rsid w:val="00815811"/>
    <w:rsid w:val="0081617C"/>
    <w:rsid w:val="00844D8C"/>
    <w:rsid w:val="008532C4"/>
    <w:rsid w:val="008756E5"/>
    <w:rsid w:val="008874F4"/>
    <w:rsid w:val="0089460B"/>
    <w:rsid w:val="0089783A"/>
    <w:rsid w:val="008A155F"/>
    <w:rsid w:val="008C6C97"/>
    <w:rsid w:val="008E18A9"/>
    <w:rsid w:val="009026BC"/>
    <w:rsid w:val="00906B23"/>
    <w:rsid w:val="00914012"/>
    <w:rsid w:val="00916583"/>
    <w:rsid w:val="00921394"/>
    <w:rsid w:val="00934B61"/>
    <w:rsid w:val="009564AF"/>
    <w:rsid w:val="009626A0"/>
    <w:rsid w:val="00975FB2"/>
    <w:rsid w:val="00994B44"/>
    <w:rsid w:val="009D66DA"/>
    <w:rsid w:val="009D71FD"/>
    <w:rsid w:val="009F3683"/>
    <w:rsid w:val="00A03BA0"/>
    <w:rsid w:val="00A03D0C"/>
    <w:rsid w:val="00A54F3B"/>
    <w:rsid w:val="00A725F3"/>
    <w:rsid w:val="00A77C70"/>
    <w:rsid w:val="00A9220E"/>
    <w:rsid w:val="00AB2EE2"/>
    <w:rsid w:val="00AD2D69"/>
    <w:rsid w:val="00AF4AAD"/>
    <w:rsid w:val="00B220CE"/>
    <w:rsid w:val="00B2724E"/>
    <w:rsid w:val="00B30272"/>
    <w:rsid w:val="00B463DA"/>
    <w:rsid w:val="00B57C4B"/>
    <w:rsid w:val="00B64B8F"/>
    <w:rsid w:val="00B67AA3"/>
    <w:rsid w:val="00B734A5"/>
    <w:rsid w:val="00B75BC7"/>
    <w:rsid w:val="00B77495"/>
    <w:rsid w:val="00B91699"/>
    <w:rsid w:val="00BD1669"/>
    <w:rsid w:val="00BF783C"/>
    <w:rsid w:val="00C10A98"/>
    <w:rsid w:val="00C128C4"/>
    <w:rsid w:val="00C27567"/>
    <w:rsid w:val="00C31E91"/>
    <w:rsid w:val="00C60C58"/>
    <w:rsid w:val="00C621D2"/>
    <w:rsid w:val="00C62FE9"/>
    <w:rsid w:val="00C71CA7"/>
    <w:rsid w:val="00C8079E"/>
    <w:rsid w:val="00CC08DF"/>
    <w:rsid w:val="00CD6703"/>
    <w:rsid w:val="00CE47E9"/>
    <w:rsid w:val="00CE77B2"/>
    <w:rsid w:val="00D03B86"/>
    <w:rsid w:val="00D11E05"/>
    <w:rsid w:val="00D2281A"/>
    <w:rsid w:val="00D66653"/>
    <w:rsid w:val="00D82DA8"/>
    <w:rsid w:val="00D8378C"/>
    <w:rsid w:val="00D90A39"/>
    <w:rsid w:val="00DA26A0"/>
    <w:rsid w:val="00DD4203"/>
    <w:rsid w:val="00DE4071"/>
    <w:rsid w:val="00DF6DA5"/>
    <w:rsid w:val="00E1495A"/>
    <w:rsid w:val="00E15CAC"/>
    <w:rsid w:val="00E41DD6"/>
    <w:rsid w:val="00E41F39"/>
    <w:rsid w:val="00E4215C"/>
    <w:rsid w:val="00E459AC"/>
    <w:rsid w:val="00E5016E"/>
    <w:rsid w:val="00E54F0D"/>
    <w:rsid w:val="00E6079A"/>
    <w:rsid w:val="00E72970"/>
    <w:rsid w:val="00E75A2A"/>
    <w:rsid w:val="00E80379"/>
    <w:rsid w:val="00E82FC7"/>
    <w:rsid w:val="00E8355C"/>
    <w:rsid w:val="00E85CBE"/>
    <w:rsid w:val="00EA6D13"/>
    <w:rsid w:val="00EB2119"/>
    <w:rsid w:val="00EB4FA9"/>
    <w:rsid w:val="00EC3DEC"/>
    <w:rsid w:val="00EC5BA7"/>
    <w:rsid w:val="00ED286A"/>
    <w:rsid w:val="00EE2FE4"/>
    <w:rsid w:val="00F169BF"/>
    <w:rsid w:val="00F3342C"/>
    <w:rsid w:val="00F51C5E"/>
    <w:rsid w:val="00F6793F"/>
    <w:rsid w:val="00F74EB4"/>
    <w:rsid w:val="00F933BB"/>
    <w:rsid w:val="00FA4FF5"/>
    <w:rsid w:val="00FB2957"/>
    <w:rsid w:val="00FF1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A3AAD8F-7D52-405F-AE49-42AD483E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A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8A9"/>
    <w:pPr>
      <w:ind w:left="720"/>
      <w:contextualSpacing/>
    </w:pPr>
  </w:style>
  <w:style w:type="paragraph" w:styleId="Header">
    <w:name w:val="header"/>
    <w:basedOn w:val="Normal"/>
    <w:link w:val="HeaderChar"/>
    <w:uiPriority w:val="99"/>
    <w:rsid w:val="00EB4F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4FA9"/>
    <w:rPr>
      <w:rFonts w:cs="Times New Roman"/>
    </w:rPr>
  </w:style>
  <w:style w:type="paragraph" w:styleId="Footer">
    <w:name w:val="footer"/>
    <w:basedOn w:val="Normal"/>
    <w:link w:val="FooterChar"/>
    <w:uiPriority w:val="99"/>
    <w:rsid w:val="00EB4F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4FA9"/>
    <w:rPr>
      <w:rFonts w:cs="Times New Roman"/>
    </w:rPr>
  </w:style>
  <w:style w:type="character" w:styleId="CommentReference">
    <w:name w:val="annotation reference"/>
    <w:basedOn w:val="DefaultParagraphFont"/>
    <w:uiPriority w:val="99"/>
    <w:semiHidden/>
    <w:rsid w:val="00975FB2"/>
    <w:rPr>
      <w:rFonts w:cs="Times New Roman"/>
      <w:sz w:val="16"/>
      <w:szCs w:val="16"/>
    </w:rPr>
  </w:style>
  <w:style w:type="paragraph" w:styleId="CommentText">
    <w:name w:val="annotation text"/>
    <w:basedOn w:val="Normal"/>
    <w:link w:val="CommentTextChar"/>
    <w:uiPriority w:val="99"/>
    <w:semiHidden/>
    <w:rsid w:val="00975FB2"/>
    <w:rPr>
      <w:sz w:val="20"/>
      <w:szCs w:val="20"/>
    </w:rPr>
  </w:style>
  <w:style w:type="character" w:customStyle="1" w:styleId="CommentTextChar">
    <w:name w:val="Comment Text Char"/>
    <w:basedOn w:val="DefaultParagraphFont"/>
    <w:link w:val="CommentText"/>
    <w:uiPriority w:val="99"/>
    <w:semiHidden/>
    <w:locked/>
    <w:rsid w:val="00E41F39"/>
    <w:rPr>
      <w:rFonts w:cs="Times New Roman"/>
      <w:sz w:val="20"/>
      <w:szCs w:val="20"/>
      <w:lang w:val="en-GB"/>
    </w:rPr>
  </w:style>
  <w:style w:type="paragraph" w:styleId="CommentSubject">
    <w:name w:val="annotation subject"/>
    <w:basedOn w:val="CommentText"/>
    <w:next w:val="CommentText"/>
    <w:link w:val="CommentSubjectChar"/>
    <w:uiPriority w:val="99"/>
    <w:semiHidden/>
    <w:rsid w:val="00975FB2"/>
    <w:rPr>
      <w:b/>
      <w:bCs/>
    </w:rPr>
  </w:style>
  <w:style w:type="character" w:customStyle="1" w:styleId="CommentSubjectChar">
    <w:name w:val="Comment Subject Char"/>
    <w:basedOn w:val="CommentTextChar"/>
    <w:link w:val="CommentSubject"/>
    <w:uiPriority w:val="99"/>
    <w:semiHidden/>
    <w:locked/>
    <w:rsid w:val="00E41F39"/>
    <w:rPr>
      <w:rFonts w:cs="Times New Roman"/>
      <w:b/>
      <w:bCs/>
      <w:sz w:val="20"/>
      <w:szCs w:val="20"/>
      <w:lang w:val="en-GB"/>
    </w:rPr>
  </w:style>
  <w:style w:type="paragraph" w:styleId="BalloonText">
    <w:name w:val="Balloon Text"/>
    <w:basedOn w:val="Normal"/>
    <w:link w:val="BalloonTextChar"/>
    <w:uiPriority w:val="99"/>
    <w:semiHidden/>
    <w:rsid w:val="00975F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F39"/>
    <w:rPr>
      <w:rFonts w:ascii="Times New Roman" w:hAnsi="Times New Roman" w:cs="Times New Roman"/>
      <w:sz w:val="2"/>
      <w:lang w:val="en-GB"/>
    </w:rPr>
  </w:style>
  <w:style w:type="character" w:styleId="Hyperlink">
    <w:name w:val="Hyperlink"/>
    <w:basedOn w:val="DefaultParagraphFont"/>
    <w:uiPriority w:val="99"/>
    <w:unhideWhenUsed/>
    <w:rsid w:val="00032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engelbrecht@canterbury.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7EE2-01DE-4886-92E2-18F1AF2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6794</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INTERNATIONAL HANDBOOK ON IN-SERVICE TEACHER TRAINING AND RE-TRAINING</vt:lpstr>
    </vt:vector>
  </TitlesOfParts>
  <Company>Canterbury Christ Church University</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HANDBOOK ON IN-SERVICE TEACHER TRAINING AND RE-TRAINING</dc:title>
  <dc:creator>Petra</dc:creator>
  <cp:lastModifiedBy>Abdallah MOE</cp:lastModifiedBy>
  <cp:revision>2</cp:revision>
  <cp:lastPrinted>2013-09-21T11:00:00Z</cp:lastPrinted>
  <dcterms:created xsi:type="dcterms:W3CDTF">2017-08-03T07:31:00Z</dcterms:created>
  <dcterms:modified xsi:type="dcterms:W3CDTF">2017-08-03T07:31:00Z</dcterms:modified>
</cp:coreProperties>
</file>