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FC" w:rsidRPr="003A7AFC" w:rsidRDefault="003A7AFC" w:rsidP="003A7AFC">
      <w:pPr>
        <w:shd w:val="clear" w:color="auto" w:fill="FFFFFF"/>
        <w:spacing w:after="80" w:line="288" w:lineRule="atLeast"/>
        <w:outlineLvl w:val="0"/>
        <w:rPr>
          <w:rFonts w:ascii="Arial" w:eastAsia="Times New Roman" w:hAnsi="Arial" w:cs="Arial"/>
          <w:color w:val="000000"/>
          <w:kern w:val="36"/>
          <w:sz w:val="24"/>
          <w:szCs w:val="24"/>
          <w:lang w:bidi="ar-SA"/>
        </w:rPr>
      </w:pPr>
      <w:bookmarkStart w:id="0" w:name="_GoBack"/>
      <w:r w:rsidRPr="003A7AFC">
        <w:rPr>
          <w:rFonts w:ascii="Arial" w:eastAsia="Times New Roman" w:hAnsi="Arial" w:cs="Arial"/>
          <w:color w:val="000000"/>
          <w:kern w:val="36"/>
          <w:sz w:val="24"/>
          <w:szCs w:val="24"/>
          <w:lang w:bidi="ar-SA"/>
        </w:rPr>
        <w:t xml:space="preserve">Chapter 11: Challenges to the formalization of Palestinian female-owned home-based </w:t>
      </w:r>
      <w:bookmarkEnd w:id="0"/>
      <w:r w:rsidRPr="003A7AFC">
        <w:rPr>
          <w:rFonts w:ascii="Arial" w:eastAsia="Times New Roman" w:hAnsi="Arial" w:cs="Arial"/>
          <w:color w:val="000000"/>
          <w:kern w:val="36"/>
          <w:sz w:val="24"/>
          <w:szCs w:val="24"/>
          <w:lang w:bidi="ar-SA"/>
        </w:rPr>
        <w:t>businesses</w:t>
      </w:r>
    </w:p>
    <w:p w:rsidR="003A7AFC" w:rsidRPr="003A7AFC" w:rsidRDefault="003A7AFC" w:rsidP="003A7AFC">
      <w:pPr>
        <w:shd w:val="clear" w:color="auto" w:fill="FFFFFF"/>
        <w:spacing w:after="0" w:line="240" w:lineRule="auto"/>
        <w:outlineLvl w:val="3"/>
        <w:rPr>
          <w:rFonts w:ascii="Arial" w:eastAsia="Times New Roman" w:hAnsi="Arial" w:cs="Arial"/>
          <w:color w:val="000000"/>
          <w:sz w:val="24"/>
          <w:szCs w:val="24"/>
          <w:lang w:bidi="ar-SA"/>
        </w:rPr>
      </w:pPr>
      <w:hyperlink r:id="rId4" w:history="1">
        <w:r w:rsidRPr="003A7AFC">
          <w:rPr>
            <w:rFonts w:ascii="Arial" w:eastAsia="Times New Roman" w:hAnsi="Arial" w:cs="Arial"/>
            <w:color w:val="3E5572"/>
            <w:sz w:val="24"/>
            <w:szCs w:val="24"/>
            <w:u w:val="single"/>
            <w:lang w:bidi="ar-SA"/>
          </w:rPr>
          <w:t xml:space="preserve">Grace </w:t>
        </w:r>
        <w:proofErr w:type="spellStart"/>
        <w:r w:rsidRPr="003A7AFC">
          <w:rPr>
            <w:rFonts w:ascii="Arial" w:eastAsia="Times New Roman" w:hAnsi="Arial" w:cs="Arial"/>
            <w:color w:val="3E5572"/>
            <w:sz w:val="24"/>
            <w:szCs w:val="24"/>
            <w:u w:val="single"/>
            <w:lang w:bidi="ar-SA"/>
          </w:rPr>
          <w:t>Khoury</w:t>
        </w:r>
        <w:proofErr w:type="spellEnd"/>
      </w:hyperlink>
      <w:r w:rsidRPr="003A7AFC">
        <w:rPr>
          <w:rFonts w:ascii="Arial" w:eastAsia="Times New Roman" w:hAnsi="Arial" w:cs="Arial"/>
          <w:color w:val="000000"/>
          <w:sz w:val="24"/>
          <w:szCs w:val="24"/>
          <w:lang w:bidi="ar-SA"/>
        </w:rPr>
        <w:t>, </w:t>
      </w:r>
      <w:proofErr w:type="spellStart"/>
      <w:r w:rsidRPr="003A7AFC">
        <w:rPr>
          <w:rFonts w:ascii="Arial" w:eastAsia="Times New Roman" w:hAnsi="Arial" w:cs="Arial"/>
          <w:color w:val="000000"/>
          <w:sz w:val="24"/>
          <w:szCs w:val="24"/>
          <w:lang w:bidi="ar-SA"/>
        </w:rPr>
        <w:fldChar w:fldCharType="begin"/>
      </w:r>
      <w:r w:rsidRPr="003A7AFC">
        <w:rPr>
          <w:rFonts w:ascii="Arial" w:eastAsia="Times New Roman" w:hAnsi="Arial" w:cs="Arial"/>
          <w:color w:val="000000"/>
          <w:sz w:val="24"/>
          <w:szCs w:val="24"/>
          <w:lang w:bidi="ar-SA"/>
        </w:rPr>
        <w:instrText xml:space="preserve"> HYPERLINK "https://www.elgaronline.com/search?f_0=author&amp;q_0=Wojdan+Farraj" </w:instrText>
      </w:r>
      <w:r w:rsidRPr="003A7AFC">
        <w:rPr>
          <w:rFonts w:ascii="Arial" w:eastAsia="Times New Roman" w:hAnsi="Arial" w:cs="Arial"/>
          <w:color w:val="000000"/>
          <w:sz w:val="24"/>
          <w:szCs w:val="24"/>
          <w:lang w:bidi="ar-SA"/>
        </w:rPr>
        <w:fldChar w:fldCharType="separate"/>
      </w:r>
      <w:r w:rsidRPr="003A7AFC">
        <w:rPr>
          <w:rFonts w:ascii="Arial" w:eastAsia="Times New Roman" w:hAnsi="Arial" w:cs="Arial"/>
          <w:color w:val="3E5572"/>
          <w:sz w:val="24"/>
          <w:szCs w:val="24"/>
          <w:u w:val="single"/>
          <w:lang w:bidi="ar-SA"/>
        </w:rPr>
        <w:t>Wojdan</w:t>
      </w:r>
      <w:proofErr w:type="spellEnd"/>
      <w:r w:rsidRPr="003A7AFC">
        <w:rPr>
          <w:rFonts w:ascii="Arial" w:eastAsia="Times New Roman" w:hAnsi="Arial" w:cs="Arial"/>
          <w:color w:val="3E5572"/>
          <w:sz w:val="24"/>
          <w:szCs w:val="24"/>
          <w:u w:val="single"/>
          <w:lang w:bidi="ar-SA"/>
        </w:rPr>
        <w:t xml:space="preserve"> </w:t>
      </w:r>
      <w:proofErr w:type="spellStart"/>
      <w:r w:rsidRPr="003A7AFC">
        <w:rPr>
          <w:rFonts w:ascii="Arial" w:eastAsia="Times New Roman" w:hAnsi="Arial" w:cs="Arial"/>
          <w:color w:val="3E5572"/>
          <w:sz w:val="24"/>
          <w:szCs w:val="24"/>
          <w:u w:val="single"/>
          <w:lang w:bidi="ar-SA"/>
        </w:rPr>
        <w:t>Farraj</w:t>
      </w:r>
      <w:proofErr w:type="spellEnd"/>
      <w:r w:rsidRPr="003A7AFC">
        <w:rPr>
          <w:rFonts w:ascii="Arial" w:eastAsia="Times New Roman" w:hAnsi="Arial" w:cs="Arial"/>
          <w:color w:val="000000"/>
          <w:sz w:val="24"/>
          <w:szCs w:val="24"/>
          <w:lang w:bidi="ar-SA"/>
        </w:rPr>
        <w:fldChar w:fldCharType="end"/>
      </w:r>
      <w:r w:rsidRPr="003A7AFC">
        <w:rPr>
          <w:rFonts w:ascii="Arial" w:eastAsia="Times New Roman" w:hAnsi="Arial" w:cs="Arial"/>
          <w:color w:val="000000"/>
          <w:sz w:val="24"/>
          <w:szCs w:val="24"/>
          <w:lang w:bidi="ar-SA"/>
        </w:rPr>
        <w:t> and </w:t>
      </w:r>
      <w:proofErr w:type="spellStart"/>
      <w:r w:rsidRPr="003A7AFC">
        <w:rPr>
          <w:rFonts w:ascii="Arial" w:eastAsia="Times New Roman" w:hAnsi="Arial" w:cs="Arial"/>
          <w:color w:val="000000"/>
          <w:sz w:val="24"/>
          <w:szCs w:val="24"/>
          <w:lang w:bidi="ar-SA"/>
        </w:rPr>
        <w:fldChar w:fldCharType="begin"/>
      </w:r>
      <w:r w:rsidRPr="003A7AFC">
        <w:rPr>
          <w:rFonts w:ascii="Arial" w:eastAsia="Times New Roman" w:hAnsi="Arial" w:cs="Arial"/>
          <w:color w:val="000000"/>
          <w:sz w:val="24"/>
          <w:szCs w:val="24"/>
          <w:lang w:bidi="ar-SA"/>
        </w:rPr>
        <w:instrText xml:space="preserve"> HYPERLINK "https://www.elgaronline.com/search?f_0=author&amp;q_0=Suhail+Sultan" </w:instrText>
      </w:r>
      <w:r w:rsidRPr="003A7AFC">
        <w:rPr>
          <w:rFonts w:ascii="Arial" w:eastAsia="Times New Roman" w:hAnsi="Arial" w:cs="Arial"/>
          <w:color w:val="000000"/>
          <w:sz w:val="24"/>
          <w:szCs w:val="24"/>
          <w:lang w:bidi="ar-SA"/>
        </w:rPr>
        <w:fldChar w:fldCharType="separate"/>
      </w:r>
      <w:r w:rsidRPr="003A7AFC">
        <w:rPr>
          <w:rFonts w:ascii="Arial" w:eastAsia="Times New Roman" w:hAnsi="Arial" w:cs="Arial"/>
          <w:color w:val="3E5572"/>
          <w:sz w:val="24"/>
          <w:szCs w:val="24"/>
          <w:u w:val="single"/>
          <w:lang w:bidi="ar-SA"/>
        </w:rPr>
        <w:t>Suhail</w:t>
      </w:r>
      <w:proofErr w:type="spellEnd"/>
      <w:r w:rsidRPr="003A7AFC">
        <w:rPr>
          <w:rFonts w:ascii="Arial" w:eastAsia="Times New Roman" w:hAnsi="Arial" w:cs="Arial"/>
          <w:color w:val="3E5572"/>
          <w:sz w:val="24"/>
          <w:szCs w:val="24"/>
          <w:u w:val="single"/>
          <w:lang w:bidi="ar-SA"/>
        </w:rPr>
        <w:t xml:space="preserve"> Sultan</w:t>
      </w:r>
      <w:r w:rsidRPr="003A7AFC">
        <w:rPr>
          <w:rFonts w:ascii="Arial" w:eastAsia="Times New Roman" w:hAnsi="Arial" w:cs="Arial"/>
          <w:color w:val="000000"/>
          <w:sz w:val="24"/>
          <w:szCs w:val="24"/>
          <w:lang w:bidi="ar-SA"/>
        </w:rPr>
        <w:fldChar w:fldCharType="end"/>
      </w:r>
    </w:p>
    <w:p w:rsidR="00277517" w:rsidRPr="003A7AFC" w:rsidRDefault="00277517">
      <w:pPr>
        <w:rPr>
          <w:sz w:val="24"/>
          <w:szCs w:val="24"/>
        </w:rPr>
      </w:pPr>
    </w:p>
    <w:p w:rsidR="003A7AFC" w:rsidRPr="003A7AFC" w:rsidRDefault="003A7AFC">
      <w:pPr>
        <w:rPr>
          <w:sz w:val="24"/>
          <w:szCs w:val="24"/>
        </w:rPr>
      </w:pPr>
    </w:p>
    <w:p w:rsidR="003A7AFC" w:rsidRPr="003A7AFC" w:rsidRDefault="003A7AFC">
      <w:pPr>
        <w:rPr>
          <w:sz w:val="24"/>
          <w:szCs w:val="24"/>
        </w:rPr>
      </w:pPr>
      <w:r w:rsidRPr="003A7AFC">
        <w:rPr>
          <w:rFonts w:ascii="Arial" w:hAnsi="Arial" w:cs="Arial"/>
          <w:color w:val="000000"/>
          <w:sz w:val="24"/>
          <w:szCs w:val="24"/>
          <w:shd w:val="clear" w:color="auto" w:fill="FFFFFF"/>
        </w:rPr>
        <w:t xml:space="preserve">Grace </w:t>
      </w:r>
      <w:proofErr w:type="spellStart"/>
      <w:r w:rsidRPr="003A7AFC">
        <w:rPr>
          <w:rFonts w:ascii="Arial" w:hAnsi="Arial" w:cs="Arial"/>
          <w:color w:val="000000"/>
          <w:sz w:val="24"/>
          <w:szCs w:val="24"/>
          <w:shd w:val="clear" w:color="auto" w:fill="FFFFFF"/>
        </w:rPr>
        <w:t>Khoury</w:t>
      </w:r>
      <w:proofErr w:type="spellEnd"/>
      <w:r w:rsidRPr="003A7AFC">
        <w:rPr>
          <w:rFonts w:ascii="Arial" w:hAnsi="Arial" w:cs="Arial"/>
          <w:color w:val="000000"/>
          <w:sz w:val="24"/>
          <w:szCs w:val="24"/>
          <w:shd w:val="clear" w:color="auto" w:fill="FFFFFF"/>
        </w:rPr>
        <w:t xml:space="preserve">, </w:t>
      </w:r>
      <w:proofErr w:type="spellStart"/>
      <w:r w:rsidRPr="003A7AFC">
        <w:rPr>
          <w:rFonts w:ascii="Arial" w:hAnsi="Arial" w:cs="Arial"/>
          <w:color w:val="000000"/>
          <w:sz w:val="24"/>
          <w:szCs w:val="24"/>
          <w:shd w:val="clear" w:color="auto" w:fill="FFFFFF"/>
        </w:rPr>
        <w:t>Wojdan</w:t>
      </w:r>
      <w:proofErr w:type="spellEnd"/>
      <w:r w:rsidRPr="003A7AFC">
        <w:rPr>
          <w:rFonts w:ascii="Arial" w:hAnsi="Arial" w:cs="Arial"/>
          <w:color w:val="000000"/>
          <w:sz w:val="24"/>
          <w:szCs w:val="24"/>
          <w:shd w:val="clear" w:color="auto" w:fill="FFFFFF"/>
        </w:rPr>
        <w:t xml:space="preserve"> </w:t>
      </w:r>
      <w:proofErr w:type="spellStart"/>
      <w:r w:rsidRPr="003A7AFC">
        <w:rPr>
          <w:rFonts w:ascii="Arial" w:hAnsi="Arial" w:cs="Arial"/>
          <w:color w:val="000000"/>
          <w:sz w:val="24"/>
          <w:szCs w:val="24"/>
          <w:shd w:val="clear" w:color="auto" w:fill="FFFFFF"/>
        </w:rPr>
        <w:t>Farraj</w:t>
      </w:r>
      <w:proofErr w:type="spellEnd"/>
      <w:r w:rsidRPr="003A7AFC">
        <w:rPr>
          <w:rFonts w:ascii="Arial" w:hAnsi="Arial" w:cs="Arial"/>
          <w:color w:val="000000"/>
          <w:sz w:val="24"/>
          <w:szCs w:val="24"/>
          <w:shd w:val="clear" w:color="auto" w:fill="FFFFFF"/>
        </w:rPr>
        <w:t xml:space="preserve"> and </w:t>
      </w:r>
      <w:proofErr w:type="spellStart"/>
      <w:r w:rsidRPr="003A7AFC">
        <w:rPr>
          <w:rFonts w:ascii="Arial" w:hAnsi="Arial" w:cs="Arial"/>
          <w:color w:val="000000"/>
          <w:sz w:val="24"/>
          <w:szCs w:val="24"/>
          <w:shd w:val="clear" w:color="auto" w:fill="FFFFFF"/>
        </w:rPr>
        <w:t>Suhail</w:t>
      </w:r>
      <w:proofErr w:type="spellEnd"/>
      <w:r w:rsidRPr="003A7AFC">
        <w:rPr>
          <w:rFonts w:ascii="Arial" w:hAnsi="Arial" w:cs="Arial"/>
          <w:color w:val="000000"/>
          <w:sz w:val="24"/>
          <w:szCs w:val="24"/>
          <w:shd w:val="clear" w:color="auto" w:fill="FFFFFF"/>
        </w:rPr>
        <w:t xml:space="preserve"> Sultan explore the fact that female-owned home-based businesses (HBBs) are often characterized by underperformance, as many prefer to remain in the informal sector. In their </w:t>
      </w:r>
      <w:proofErr w:type="gramStart"/>
      <w:r w:rsidRPr="003A7AFC">
        <w:rPr>
          <w:rFonts w:ascii="Arial" w:hAnsi="Arial" w:cs="Arial"/>
          <w:color w:val="000000"/>
          <w:sz w:val="24"/>
          <w:szCs w:val="24"/>
          <w:shd w:val="clear" w:color="auto" w:fill="FFFFFF"/>
        </w:rPr>
        <w:t>study</w:t>
      </w:r>
      <w:proofErr w:type="gramEnd"/>
      <w:r w:rsidRPr="003A7AFC">
        <w:rPr>
          <w:rFonts w:ascii="Arial" w:hAnsi="Arial" w:cs="Arial"/>
          <w:color w:val="000000"/>
          <w:sz w:val="24"/>
          <w:szCs w:val="24"/>
          <w:shd w:val="clear" w:color="auto" w:fill="FFFFFF"/>
        </w:rPr>
        <w:t xml:space="preserve"> it is argued that few women attempt to formalize their HBBs due to the challenges associated with the legitimization process, leaving the majority preferring to endure constrained performance rather than to pursue the otherwise cumbersome alternative. The chapter’s aim is to investigate the challenges faced by female-owned HBBs in Palestine when seeking formalization and to highlight the initiatives provided by the various institutions to encourage these women to persist in their </w:t>
      </w:r>
      <w:proofErr w:type="spellStart"/>
      <w:r w:rsidRPr="003A7AFC">
        <w:rPr>
          <w:rFonts w:ascii="Arial" w:hAnsi="Arial" w:cs="Arial"/>
          <w:color w:val="000000"/>
          <w:sz w:val="24"/>
          <w:szCs w:val="24"/>
          <w:shd w:val="clear" w:color="auto" w:fill="FFFFFF"/>
        </w:rPr>
        <w:t>endeavours</w:t>
      </w:r>
      <w:proofErr w:type="spellEnd"/>
      <w:r w:rsidRPr="003A7AFC">
        <w:rPr>
          <w:rFonts w:ascii="Arial" w:hAnsi="Arial" w:cs="Arial"/>
          <w:color w:val="000000"/>
          <w:sz w:val="24"/>
          <w:szCs w:val="24"/>
          <w:shd w:val="clear" w:color="auto" w:fill="FFFFFF"/>
        </w:rPr>
        <w:t xml:space="preserve">, and, possibly, to formalize. The findings demonstrate that the most challenging factors are of an institutional nature, both formal (weak institutions, tax policies and support services) and informal (socio-cultural constraints). Moreover, </w:t>
      </w:r>
      <w:proofErr w:type="gramStart"/>
      <w:r w:rsidRPr="003A7AFC">
        <w:rPr>
          <w:rFonts w:ascii="Arial" w:hAnsi="Arial" w:cs="Arial"/>
          <w:color w:val="000000"/>
          <w:sz w:val="24"/>
          <w:szCs w:val="24"/>
          <w:shd w:val="clear" w:color="auto" w:fill="FFFFFF"/>
        </w:rPr>
        <w:t>few successful initiatives were introduced by various institutions to encourage these women to formalize their HBBs</w:t>
      </w:r>
      <w:proofErr w:type="gramEnd"/>
      <w:r w:rsidRPr="003A7AFC">
        <w:rPr>
          <w:rFonts w:ascii="Arial" w:hAnsi="Arial" w:cs="Arial"/>
          <w:color w:val="000000"/>
          <w:sz w:val="24"/>
          <w:szCs w:val="24"/>
          <w:shd w:val="clear" w:color="auto" w:fill="FFFFFF"/>
        </w:rPr>
        <w:t>.</w:t>
      </w:r>
    </w:p>
    <w:sectPr w:rsidR="003A7AFC" w:rsidRPr="003A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FC"/>
    <w:rsid w:val="00277517"/>
    <w:rsid w:val="003A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9DA26-2715-4534-A894-619B0C6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JO"/>
    </w:rPr>
  </w:style>
  <w:style w:type="paragraph" w:styleId="Heading1">
    <w:name w:val="heading 1"/>
    <w:basedOn w:val="Normal"/>
    <w:link w:val="Heading1Char"/>
    <w:uiPriority w:val="9"/>
    <w:qFormat/>
    <w:rsid w:val="003A7AFC"/>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4">
    <w:name w:val="heading 4"/>
    <w:basedOn w:val="Normal"/>
    <w:link w:val="Heading4Char"/>
    <w:uiPriority w:val="9"/>
    <w:qFormat/>
    <w:rsid w:val="003A7AFC"/>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A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A7AF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garonline.com/search?f_0=author&amp;q_0=Grace+Kho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2019-03-23T07:44:00Z</dcterms:created>
  <dcterms:modified xsi:type="dcterms:W3CDTF">2019-03-23T07:45:00Z</dcterms:modified>
</cp:coreProperties>
</file>